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#12</w:t>
      </w:r>
      <w:r>
        <w:rPr>
          <w:rFonts w:hint="eastAsia" w:eastAsia="宋体"/>
          <w:sz w:val="24"/>
          <w:szCs w:val="24"/>
          <w:lang w:val="en-US" w:eastAsia="zh-CN"/>
        </w:rPr>
        <w:t>2</w:t>
      </w:r>
      <w:r>
        <w:rPr>
          <w:sz w:val="24"/>
          <w:szCs w:val="24"/>
        </w:rPr>
        <w:tab/>
      </w:r>
      <w:r>
        <w:rPr>
          <w:sz w:val="24"/>
          <w:szCs w:val="24"/>
        </w:rPr>
        <w:t>R2-2</w:t>
      </w:r>
      <w:r>
        <w:rPr>
          <w:rFonts w:hint="eastAsia" w:eastAsia="宋体"/>
          <w:sz w:val="24"/>
          <w:szCs w:val="24"/>
          <w:lang w:val="en-US" w:eastAsia="zh-CN"/>
        </w:rPr>
        <w:t>305041</w:t>
      </w:r>
    </w:p>
    <w:p>
      <w:pPr>
        <w:pStyle w:val="33"/>
        <w:tabs>
          <w:tab w:val="left" w:pos="1701"/>
          <w:tab w:val="right" w:pos="9923"/>
        </w:tabs>
        <w:rPr>
          <w:sz w:val="24"/>
          <w:szCs w:val="24"/>
        </w:rPr>
      </w:pPr>
      <w:r>
        <w:rPr>
          <w:sz w:val="24"/>
          <w:szCs w:val="24"/>
        </w:rPr>
        <w:t>Incheon, Korea, May 22-26, 2023</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mobility enhancement for</w:t>
      </w:r>
      <w:r>
        <w:rPr>
          <w:rFonts w:hint="default" w:ascii="Arial" w:hAnsi="Arial" w:cs="Arial"/>
          <w:b/>
          <w:bCs w:val="0"/>
          <w:sz w:val="24"/>
          <w:szCs w:val="24"/>
          <w:lang w:val="en-US" w:eastAsia="zh-CN"/>
        </w:rPr>
        <w:t xml:space="preserve"> </w:t>
      </w:r>
      <w:r>
        <w:rPr>
          <w:rFonts w:hint="default" w:ascii="Arial" w:hAnsi="Arial" w:cs="Arial"/>
          <w:b/>
          <w:bCs w:val="0"/>
          <w:sz w:val="24"/>
          <w:szCs w:val="24"/>
        </w:rPr>
        <w:t>Idle/Inactive mode</w:t>
      </w:r>
      <w:r>
        <w:rPr>
          <w:rFonts w:hint="default" w:ascii="Arial" w:hAnsi="Arial" w:cs="Arial"/>
          <w:b/>
          <w:bCs w:val="0"/>
          <w:sz w:val="24"/>
          <w:szCs w:val="24"/>
          <w:lang w:val="en-US" w:eastAsia="zh-CN"/>
        </w:rPr>
        <w:t xml:space="preserve"> UE</w:t>
      </w:r>
    </w:p>
    <w:p>
      <w:pPr>
        <w:tabs>
          <w:tab w:val="left" w:pos="1985"/>
        </w:tabs>
        <w:jc w:val="both"/>
        <w:rPr>
          <w:rStyle w:val="160"/>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2.2</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spacing w:before="156" w:beforeLines="50"/>
        <w:jc w:val="both"/>
        <w:rPr>
          <w:lang w:val="en-US" w:eastAsia="zh-CN"/>
        </w:rPr>
      </w:pPr>
      <w:r>
        <w:rPr>
          <w:rFonts w:hint="eastAsia"/>
          <w:lang w:val="en-US" w:eastAsia="zh-CN"/>
        </w:rPr>
        <w:t>During RAN2#1</w:t>
      </w:r>
      <w:r>
        <w:rPr>
          <w:lang w:val="en-US" w:eastAsia="zh-CN"/>
        </w:rPr>
        <w:t>2</w:t>
      </w:r>
      <w:r>
        <w:rPr>
          <w:rFonts w:hint="eastAsia"/>
          <w:lang w:val="en-US" w:eastAsia="zh-CN"/>
        </w:rPr>
        <w:t xml:space="preserve">1 meeting, the mobility enhancemets for </w:t>
      </w:r>
      <w:r>
        <w:rPr>
          <w:rFonts w:hint="eastAsia" w:ascii="Times New Roman" w:hAnsi="Times New Roman" w:cs="Times New Roman"/>
          <w:b w:val="0"/>
          <w:bCs w:val="0"/>
          <w:sz w:val="20"/>
          <w:szCs w:val="20"/>
          <w:lang w:val="en-US" w:eastAsia="zh-CN"/>
        </w:rPr>
        <w:t>Idle/Inactive mode UE</w:t>
      </w:r>
      <w:r>
        <w:rPr>
          <w:rFonts w:hint="eastAsia"/>
          <w:lang w:val="en-US" w:eastAsia="zh-CN"/>
        </w:rPr>
        <w:t xml:space="preserve"> was discussed and the following agreements were reached: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Borders>
              <w:top w:val="single" w:color="auto" w:sz="4" w:space="0"/>
              <w:left w:val="single" w:color="auto" w:sz="4" w:space="0"/>
              <w:bottom w:val="single" w:color="auto" w:sz="4" w:space="0"/>
              <w:right w:val="single" w:color="auto" w:sz="4" w:space="0"/>
            </w:tcBorders>
          </w:tcPr>
          <w:p>
            <w:pPr>
              <w:ind w:right="200"/>
              <w:jc w:val="both"/>
              <w:rPr>
                <w:rFonts w:hint="eastAsia" w:ascii="CG Times (WN)" w:hAnsi="CG Times (WN)" w:eastAsia="Batang"/>
              </w:rPr>
            </w:pPr>
            <w:r>
              <w:rPr>
                <w:rFonts w:hint="eastAsia" w:ascii="CG Times (WN)" w:hAnsi="CG Times (WN)" w:eastAsia="Batang"/>
              </w:rPr>
              <w:t xml:space="preserve">Working Assumption: support to have UE prioritization in cell reselection for mIAB cell(s), at least for inter-frequency cell-reselection. </w:t>
            </w:r>
          </w:p>
          <w:p>
            <w:pPr>
              <w:ind w:right="200"/>
              <w:jc w:val="both"/>
              <w:rPr>
                <w:rFonts w:ascii="CG Times (WN)" w:hAnsi="CG Times (WN)" w:eastAsia="Batang"/>
              </w:rPr>
            </w:pPr>
            <w:r>
              <w:rPr>
                <w:rFonts w:hint="eastAsia" w:ascii="CG Times (WN)" w:hAnsi="CG Times (WN)" w:eastAsia="Batang"/>
              </w:rPr>
              <w:t xml:space="preserve">FFS if UE search and measure for mIAB cells on different frequencies is unspecified (autonomous search), FFS if such search can be done without assistance frequency information. </w:t>
            </w:r>
          </w:p>
        </w:tc>
      </w:tr>
    </w:tbl>
    <w:p>
      <w:pPr>
        <w:spacing w:before="156" w:beforeLines="50"/>
        <w:jc w:val="both"/>
        <w:rPr>
          <w:lang w:eastAsia="zh-CN"/>
        </w:rPr>
      </w:pPr>
      <w:r>
        <w:rPr>
          <w:rFonts w:hint="eastAsia"/>
        </w:rPr>
        <w:t xml:space="preserve">As we can see, it is still not clear whether and what UE behavior upon receiving the mobile-IAB cell type indication should be specified. </w:t>
      </w:r>
      <w:r>
        <w:t xml:space="preserve"> </w:t>
      </w:r>
      <w:r>
        <w:rPr>
          <w:rFonts w:hint="eastAsia"/>
        </w:rPr>
        <w:t xml:space="preserve">In this paper, we will discuss the </w:t>
      </w:r>
      <w:r>
        <w:rPr>
          <w:rFonts w:hint="eastAsia"/>
          <w:lang w:val="en-US" w:eastAsia="zh-CN"/>
        </w:rPr>
        <w:t xml:space="preserve">necessity of </w:t>
      </w:r>
      <w:r>
        <w:rPr>
          <w:rFonts w:hint="eastAsia"/>
        </w:rPr>
        <w:t>mobile-IAB cell type indication</w:t>
      </w:r>
      <w:r>
        <w:rPr>
          <w:rFonts w:hint="eastAsia"/>
          <w:lang w:val="en-US" w:eastAsia="zh-CN"/>
        </w:rPr>
        <w:t xml:space="preserve"> broadcast by mobile IAB cell and </w:t>
      </w:r>
      <w:r>
        <w:rPr>
          <w:rFonts w:hint="eastAsia"/>
        </w:rPr>
        <w:t>potential UE behavior upon receiving the mobile-IAB cell indication</w:t>
      </w:r>
      <w:r>
        <w:rPr>
          <w:rFonts w:hint="eastAsia"/>
          <w:lang w:val="en-US" w:eastAsia="zh-CN"/>
        </w:rPr>
        <w:t xml:space="preserve">. The FFS issues for UE search and selection of mobile IAB cells are also analyzed. </w:t>
      </w:r>
      <w:r>
        <w:rPr>
          <w:rFonts w:hint="eastAsia"/>
        </w:rPr>
        <w:t xml:space="preserve"> </w:t>
      </w:r>
    </w:p>
    <w:p>
      <w:pPr>
        <w:pStyle w:val="2"/>
        <w:jc w:val="both"/>
        <w:rPr>
          <w:rFonts w:hint="eastAsia" w:eastAsia="宋体"/>
          <w:lang w:eastAsia="zh-CN"/>
        </w:rPr>
      </w:pPr>
      <w:r>
        <w:rPr>
          <w:rFonts w:hint="eastAsia" w:eastAsia="宋体"/>
          <w:lang w:eastAsia="zh-CN"/>
        </w:rPr>
        <w:t>Discussion</w:t>
      </w:r>
    </w:p>
    <w:p>
      <w:pPr>
        <w:widowControl w:val="0"/>
        <w:spacing w:before="156" w:beforeLines="50"/>
        <w:jc w:val="both"/>
      </w:pPr>
      <w:r>
        <w:rPr>
          <w:rFonts w:hint="eastAsia"/>
          <w:lang w:val="en-US" w:eastAsia="zh-CN"/>
        </w:rPr>
        <w:t>A</w:t>
      </w:r>
      <w:r>
        <w:rPr>
          <w:rFonts w:hint="eastAsia" w:eastAsia="Batang"/>
          <w:lang w:val="en-US" w:eastAsia="zh-CN"/>
        </w:rPr>
        <w:t xml:space="preserve">ccording to the latest TS 23.501, </w:t>
      </w:r>
      <w:r>
        <w:rPr>
          <w:lang w:val="en-US"/>
        </w:rPr>
        <w:t>existing CAG mechanism can be used for managing UE’s access to MBSR</w:t>
      </w:r>
      <w:r>
        <w:rPr>
          <w:rFonts w:hint="eastAsia"/>
          <w:lang w:val="en-US" w:eastAsia="zh-CN"/>
        </w:rPr>
        <w:t xml:space="preserve">. </w:t>
      </w:r>
      <w:r>
        <w:rPr>
          <w:lang w:eastAsia="zh-CN"/>
        </w:rPr>
        <w:t xml:space="preserve">RAN and CN supports the UE access control based on the CAG identifier associated with the cell and the allowed CAG identifiers for the UE </w:t>
      </w:r>
      <w:r>
        <w:t>that supports CAG functionality</w:t>
      </w:r>
      <w:r>
        <w:rPr>
          <w:rFonts w:hint="eastAsia"/>
          <w:lang w:val="en-US" w:eastAsia="zh-CN"/>
        </w:rPr>
        <w:t xml:space="preserve">. </w:t>
      </w:r>
      <w:r>
        <w:rPr>
          <w:lang w:eastAsia="zh-CN"/>
        </w:rPr>
        <w:t>For the UE that does not support CAG functionality, RAN and CN are allowed to use not only CAG mechanism but also the other existing mechanism e.g. forbidden Tracking Area.</w:t>
      </w:r>
      <w:r>
        <w:rPr>
          <w:rFonts w:hint="eastAsia"/>
          <w:lang w:val="en-US" w:eastAsia="zh-CN"/>
        </w:rPr>
        <w:t xml:space="preserve"> In addition, e</w:t>
      </w:r>
      <w:r>
        <w:t xml:space="preserve">xtra information (e.g. time duration) may be deployed together with the CAG Identifier for MBSR that UE can access. </w:t>
      </w:r>
      <w:r>
        <w:rPr>
          <w:lang w:val="en-US"/>
        </w:rPr>
        <w:t>The enhanced Allowed CAG list will be provided to UE and AMF for enforcement to make sure UE not accessing the MBSR cell outside of the time duration</w:t>
      </w:r>
      <w:r>
        <w:t>.</w:t>
      </w:r>
    </w:p>
    <w:p>
      <w:pPr>
        <w:widowControl w:val="0"/>
        <w:spacing w:before="156" w:beforeLines="50"/>
        <w:jc w:val="both"/>
        <w:rPr>
          <w:lang w:val="en-US" w:eastAsia="zh-CN"/>
        </w:rPr>
      </w:pPr>
      <w:r>
        <w:rPr>
          <w:rFonts w:hint="eastAsia"/>
        </w:rPr>
        <w:t xml:space="preserve">Based on the progress of SA2, it is possible for the CAG capable UE to regard itself as on-board if it can access a mobile IAB node </w:t>
      </w:r>
      <w:r>
        <w:rPr>
          <w:rFonts w:eastAsia="STIXTwoText"/>
        </w:rPr>
        <w:t>broadcast a CAG ID contained in the UE’s allowed CAG list</w:t>
      </w:r>
      <w:r>
        <w:rPr>
          <w:rFonts w:hint="eastAsia" w:eastAsia="STIXTwoText"/>
        </w:rPr>
        <w:t>.T</w:t>
      </w:r>
      <w:r>
        <w:rPr>
          <w:rFonts w:hint="eastAsia"/>
        </w:rPr>
        <w:t>o support this, a prerequisite is that UE should be able to identify which cell is mobile IAB cell and then check the corresponding CAG ID broadcast by the cell to determine whether it can be allowed to access.</w:t>
      </w:r>
      <w:r>
        <w:t xml:space="preserve"> </w:t>
      </w:r>
    </w:p>
    <w:p>
      <w:pPr>
        <w:jc w:val="both"/>
      </w:pPr>
      <w:r>
        <w:rPr>
          <w:rFonts w:hint="eastAsia" w:eastAsia="STIXTwoText"/>
        </w:rPr>
        <w:t>F</w:t>
      </w:r>
      <w:r>
        <w:t xml:space="preserve">or the UE that does not support CAG functionality, </w:t>
      </w:r>
      <w:r>
        <w:rPr>
          <w:rFonts w:hint="eastAsia"/>
        </w:rPr>
        <w:t xml:space="preserve">according to TR 23.700-05, </w:t>
      </w:r>
      <w:r>
        <w:t>RAN and CN are allowed to use other existing mechanism e.g. forbidden Tracking Area.</w:t>
      </w:r>
      <w:r>
        <w:rPr>
          <w:rFonts w:hint="eastAsia"/>
        </w:rPr>
        <w:t xml:space="preserve"> It means that UE may also regard itself as onboard if it can camp on the mobile IAB cell which broadcast at least one TA that is </w:t>
      </w:r>
      <w:r>
        <w:t xml:space="preserve">not part of the </w:t>
      </w:r>
      <w:r>
        <w:rPr>
          <w:rFonts w:hint="eastAsia"/>
        </w:rPr>
        <w:t>UE</w:t>
      </w:r>
      <w:r>
        <w:t>’</w:t>
      </w:r>
      <w:r>
        <w:rPr>
          <w:rFonts w:hint="eastAsia"/>
        </w:rPr>
        <w:t xml:space="preserve">s </w:t>
      </w:r>
      <w:r>
        <w:t xml:space="preserve">"Forbidden Tracking Areas for Roaming" </w:t>
      </w:r>
      <w:r>
        <w:rPr>
          <w:rFonts w:hint="eastAsia"/>
        </w:rPr>
        <w:t>list</w:t>
      </w:r>
      <w:r>
        <w:t>.</w:t>
      </w:r>
      <w:r>
        <w:rPr>
          <w:rFonts w:hint="eastAsia"/>
        </w:rPr>
        <w:t xml:space="preserve"> </w:t>
      </w:r>
      <w:r>
        <w:rPr>
          <w:rFonts w:hint="eastAsia"/>
          <w:lang w:val="en-US" w:eastAsia="zh-CN"/>
        </w:rPr>
        <w:t>T</w:t>
      </w:r>
      <w:r>
        <w:rPr>
          <w:rFonts w:hint="eastAsia"/>
        </w:rPr>
        <w:t xml:space="preserve">o support this, </w:t>
      </w:r>
      <w:r>
        <w:t xml:space="preserve">the TAC value </w:t>
      </w:r>
      <w:r>
        <w:rPr>
          <w:rFonts w:hint="eastAsia"/>
          <w:lang w:val="en-US" w:eastAsia="zh-CN"/>
        </w:rPr>
        <w:t>broadcast by</w:t>
      </w:r>
      <w:r>
        <w:t xml:space="preserve"> the mobile IAB </w:t>
      </w:r>
      <w:r>
        <w:rPr>
          <w:rFonts w:hint="eastAsia"/>
          <w:lang w:val="en-US" w:eastAsia="zh-CN"/>
        </w:rPr>
        <w:t>cell</w:t>
      </w:r>
      <w:r>
        <w:t xml:space="preserve"> should be different from the TAC value </w:t>
      </w:r>
      <w:r>
        <w:rPr>
          <w:rFonts w:hint="eastAsia"/>
          <w:lang w:val="en-US" w:eastAsia="zh-CN"/>
        </w:rPr>
        <w:t>broadcast by</w:t>
      </w:r>
      <w:r>
        <w:t xml:space="preserve"> the surrounding cells. Otherwise, the UE cannot access the surrounding cells with the same TAC if it is prohibited from accessing the mobile IAB node. </w:t>
      </w:r>
    </w:p>
    <w:p>
      <w:pPr>
        <w:jc w:val="both"/>
        <w:rPr>
          <w:rFonts w:hint="eastAsia"/>
        </w:rPr>
      </w:pPr>
      <w:r>
        <w:rPr>
          <w:rFonts w:hint="eastAsia"/>
          <w:b w:val="0"/>
          <w:bCs w:val="0"/>
          <w:lang w:val="en-US" w:eastAsia="zh-CN"/>
        </w:rPr>
        <w:t xml:space="preserve">On the other hand, a working assumption has been reached to support UE prioritization in cell reselection for mIAB cell(s), at least for inter-frequency cell-reselection. Actually, for </w:t>
      </w:r>
      <w:r>
        <w:rPr>
          <w:rFonts w:hint="eastAsia"/>
        </w:rPr>
        <w:t xml:space="preserve">the UE which has already camped on mobile IAB cells, in order to avoid unnecessary inter-frequency measurement with high priority, it is </w:t>
      </w:r>
      <w:r>
        <w:rPr>
          <w:rFonts w:hint="eastAsia"/>
          <w:lang w:val="en-US" w:eastAsia="zh-CN"/>
        </w:rPr>
        <w:t>better for the</w:t>
      </w:r>
      <w:r>
        <w:rPr>
          <w:rFonts w:hint="eastAsia"/>
        </w:rPr>
        <w:t xml:space="preserve"> UE </w:t>
      </w:r>
      <w:r>
        <w:rPr>
          <w:rFonts w:hint="eastAsia"/>
          <w:lang w:val="en-US" w:eastAsia="zh-CN"/>
        </w:rPr>
        <w:t xml:space="preserve">to </w:t>
      </w:r>
      <w:r>
        <w:rPr>
          <w:rFonts w:hint="eastAsia"/>
        </w:rPr>
        <w:t>regard the frequency which provide</w:t>
      </w:r>
      <w:r>
        <w:rPr>
          <w:rFonts w:hint="eastAsia"/>
          <w:lang w:val="en-US" w:eastAsia="zh-CN"/>
        </w:rPr>
        <w:t>s</w:t>
      </w:r>
      <w:r>
        <w:rPr>
          <w:rFonts w:hint="eastAsia"/>
        </w:rPr>
        <w:t xml:space="preserve"> mobile IAB cell to be the highest priority. </w:t>
      </w:r>
    </w:p>
    <w:p>
      <w:pPr>
        <w:jc w:val="both"/>
        <w:rPr>
          <w:rFonts w:hint="eastAsia"/>
          <w:lang w:val="en-US" w:eastAsia="zh-CN"/>
        </w:rPr>
      </w:pPr>
      <w:r>
        <w:rPr>
          <w:rFonts w:hint="eastAsia"/>
        </w:rPr>
        <w:t>With the movement of mobile IAB, the frequency of mobile IAB cells may change</w:t>
      </w:r>
      <w:r>
        <w:rPr>
          <w:rFonts w:hint="eastAsia"/>
          <w:lang w:val="en-US" w:eastAsia="zh-CN"/>
        </w:rPr>
        <w:t xml:space="preserve"> from f1 to f2</w:t>
      </w:r>
      <w:r>
        <w:rPr>
          <w:rFonts w:hint="eastAsia"/>
        </w:rPr>
        <w:t>. From the perspective of RRC_IDLE/INACTIVE UE,</w:t>
      </w:r>
      <w:r>
        <w:rPr>
          <w:rFonts w:hint="eastAsia"/>
          <w:lang w:val="en-US" w:eastAsia="zh-CN"/>
        </w:rPr>
        <w:t xml:space="preserve"> the UE may </w:t>
      </w:r>
      <w:r>
        <w:rPr>
          <w:rFonts w:hint="eastAsia"/>
        </w:rPr>
        <w:t xml:space="preserve">no longer detect the </w:t>
      </w:r>
      <w:r>
        <w:rPr>
          <w:rFonts w:hint="eastAsia"/>
          <w:lang w:val="en-US" w:eastAsia="zh-CN"/>
        </w:rPr>
        <w:t xml:space="preserve">original </w:t>
      </w:r>
      <w:r>
        <w:rPr>
          <w:rFonts w:hint="eastAsia"/>
        </w:rPr>
        <w:t xml:space="preserve">serving </w:t>
      </w:r>
      <w:r>
        <w:rPr>
          <w:rFonts w:hint="eastAsia"/>
          <w:lang w:val="en-US" w:eastAsia="zh-CN"/>
        </w:rPr>
        <w:t xml:space="preserve">mobile IAB </w:t>
      </w:r>
      <w:r>
        <w:rPr>
          <w:rFonts w:hint="eastAsia"/>
        </w:rPr>
        <w:t xml:space="preserve">cell </w:t>
      </w:r>
      <w:r>
        <w:rPr>
          <w:rFonts w:hint="eastAsia"/>
          <w:lang w:val="en-US" w:eastAsia="zh-CN"/>
        </w:rPr>
        <w:t xml:space="preserve">or UE detects the measurement result of serving mobile IAB cell on the original frequency f1 becomes worse and even lower than the given threshold. Then the UE initiates the </w:t>
      </w:r>
      <w:r>
        <w:rPr>
          <w:rFonts w:hint="eastAsia"/>
        </w:rPr>
        <w:t>intra/inter-frequency measurement.</w:t>
      </w:r>
      <w:r>
        <w:rPr>
          <w:rFonts w:hint="eastAsia"/>
          <w:lang w:val="en-US" w:eastAsia="zh-CN"/>
        </w:rPr>
        <w:t xml:space="preserve"> In this case, the UE may detect the mobile IAB cell working on frequency f2 and then re-select the mobile IAB cell on frequency f2 to camp on. </w:t>
      </w:r>
    </w:p>
    <w:p>
      <w:pPr>
        <w:jc w:val="both"/>
        <w:rPr>
          <w:rFonts w:hint="eastAsia"/>
          <w:lang w:val="en-US" w:eastAsia="zh-CN"/>
        </w:rPr>
      </w:pPr>
      <w:r>
        <w:rPr>
          <w:rFonts w:hint="eastAsia"/>
          <w:b/>
          <w:bCs/>
        </w:rPr>
        <w:t xml:space="preserve">Proposal </w:t>
      </w:r>
      <w:r>
        <w:rPr>
          <w:rFonts w:hint="eastAsia"/>
          <w:b/>
          <w:bCs/>
          <w:lang w:val="en-US" w:eastAsia="zh-CN"/>
        </w:rPr>
        <w:t>1</w:t>
      </w:r>
      <w:r>
        <w:rPr>
          <w:rFonts w:hint="eastAsia"/>
          <w:b/>
          <w:bCs/>
        </w:rPr>
        <w:t>: UE camped on mobile IAB cell may regard the frequency which provide mobile IAB cell to be the highest priority</w:t>
      </w:r>
      <w:r>
        <w:rPr>
          <w:rFonts w:hint="eastAsia"/>
          <w:b/>
          <w:bCs/>
          <w:lang w:val="en-US" w:eastAsia="zh-CN"/>
        </w:rPr>
        <w:t xml:space="preserve"> so as t</w:t>
      </w:r>
      <w:r>
        <w:rPr>
          <w:rFonts w:hint="eastAsia"/>
          <w:b/>
          <w:bCs/>
        </w:rPr>
        <w:t>o avoid unnecessary inter-frequency measurement with high priority.</w:t>
      </w:r>
    </w:p>
    <w:p>
      <w:pPr>
        <w:jc w:val="both"/>
        <w:rPr>
          <w:rFonts w:hint="eastAsia"/>
          <w:lang w:val="en-US" w:eastAsia="zh-CN"/>
        </w:rPr>
      </w:pPr>
      <w:r>
        <w:rPr>
          <w:rFonts w:hint="eastAsia"/>
          <w:lang w:val="en-US" w:eastAsia="zh-CN"/>
        </w:rPr>
        <w:t>During last meeting, some companies propose to support the prioritization of mobile IAB cell during the cell selection.  However, we think the UE may follow the legacy procedure for the cell selection on a specific frequency. To be specific, t</w:t>
      </w:r>
      <w:r>
        <w:t xml:space="preserve">he UE </w:t>
      </w:r>
      <w:r>
        <w:rPr>
          <w:rFonts w:hint="eastAsia"/>
          <w:lang w:val="en-US" w:eastAsia="zh-CN"/>
        </w:rPr>
        <w:t>may</w:t>
      </w:r>
      <w:r>
        <w:t xml:space="preserve"> scan all RF channels in the NR bands according to its capabilities to find available PLMNs and available CAGs. On each carrier, the UE shall search for </w:t>
      </w:r>
      <w:r>
        <w:rPr>
          <w:snapToGrid w:val="0"/>
        </w:rPr>
        <w:t>the strongest cell and read its system information, in order to find out which PLMN(s) the cell belongs to and any associated CAG(s)</w:t>
      </w:r>
      <w:r>
        <w:t>.</w:t>
      </w:r>
      <w:r>
        <w:rPr>
          <w:snapToGrid w:val="0"/>
        </w:rPr>
        <w:t xml:space="preserve"> </w:t>
      </w:r>
      <w:r>
        <w:rPr>
          <w:rFonts w:hint="eastAsia"/>
          <w:snapToGrid w:val="0"/>
          <w:lang w:val="en-US" w:eastAsia="zh-CN"/>
        </w:rPr>
        <w:t xml:space="preserve">Alternatively, the UE may perform the cell selection based on the </w:t>
      </w:r>
      <w:r>
        <w:t>stored information of frequencies and optionally also cell parameters from previously detected cells.</w:t>
      </w:r>
      <w:r>
        <w:rPr>
          <w:rFonts w:hint="eastAsia"/>
          <w:lang w:val="en-US" w:eastAsia="zh-CN"/>
        </w:rPr>
        <w:t xml:space="preserve"> Only if the mobile IAB cell is detected as the strongest cell and the CAG ID </w:t>
      </w:r>
      <w:r>
        <w:t>present in the UE's allowed CAG list being broadcasted</w:t>
      </w:r>
      <w:r>
        <w:rPr>
          <w:rFonts w:hint="eastAsia"/>
          <w:lang w:val="en-US" w:eastAsia="zh-CN"/>
        </w:rPr>
        <w:t xml:space="preserve"> by the mobile IAB cell, UE may select the this mobile IAB cell. Even if the UE initially selects non-mobile neighboring cell, the UE may re-select to the mobile IAB cell suppose the UE moves together with the mobile IAB node. Once the UE select/re-select the mobile IAB cell, UE may continuously camped on this cell until the measurement result becomes lower than a given threshold. In this case, the UE may trigger the cell reselection. </w:t>
      </w:r>
    </w:p>
    <w:p>
      <w:pPr>
        <w:jc w:val="both"/>
        <w:rPr>
          <w:rFonts w:hint="eastAsia"/>
          <w:b/>
          <w:bCs/>
          <w:lang w:val="en-US" w:eastAsia="zh-CN"/>
        </w:rPr>
      </w:pPr>
      <w:r>
        <w:rPr>
          <w:rFonts w:hint="eastAsia"/>
          <w:b/>
          <w:bCs/>
          <w:lang w:val="en-US" w:eastAsia="zh-CN"/>
        </w:rPr>
        <w:t>Proposal 2: If the mobile IAB cell permits the UE</w:t>
      </w:r>
      <w:r>
        <w:rPr>
          <w:rFonts w:hint="default"/>
          <w:b/>
          <w:bCs/>
          <w:lang w:val="en-US" w:eastAsia="zh-CN"/>
        </w:rPr>
        <w:t>’</w:t>
      </w:r>
      <w:r>
        <w:rPr>
          <w:rFonts w:hint="eastAsia"/>
          <w:b/>
          <w:bCs/>
          <w:lang w:val="en-US" w:eastAsia="zh-CN"/>
        </w:rPr>
        <w:t xml:space="preserve">s access (e.g. check via CAG or forbidden TA) and the mobile IAB cell is detected as the strongest candidate cell, UE may select/re-select this mobile IAB cell. It is not necessary to prioritize the mobile IAB cell during cell selection/re-selection. </w:t>
      </w:r>
    </w:p>
    <w:p>
      <w:pPr>
        <w:jc w:val="both"/>
        <w:rPr>
          <w:rFonts w:hint="default"/>
          <w:b w:val="0"/>
          <w:bCs w:val="0"/>
          <w:lang w:val="en-US" w:eastAsia="zh-CN"/>
        </w:rPr>
      </w:pPr>
      <w:r>
        <w:rPr>
          <w:rFonts w:hint="eastAsia"/>
          <w:b w:val="0"/>
          <w:bCs w:val="0"/>
          <w:lang w:val="en-US" w:eastAsia="zh-CN"/>
        </w:rPr>
        <w:t xml:space="preserve">As we can see, the mobile-IAB cell type indication may be used by the UE to identify the mobile IAB cell, determine whether it is on-board or not, and to perform the  frequency prioritization to reduce the inter-frequency measurement. Based on this observation, it is suggested to confirm that </w:t>
      </w:r>
      <w:r>
        <w:rPr>
          <w:rFonts w:hint="eastAsia" w:eastAsia="Batang"/>
          <w:b w:val="0"/>
          <w:bCs w:val="0"/>
        </w:rPr>
        <w:t>mobile-IAB cell type indication</w:t>
      </w:r>
      <w:r>
        <w:rPr>
          <w:rFonts w:hint="eastAsia"/>
          <w:b w:val="0"/>
          <w:bCs w:val="0"/>
          <w:lang w:val="en-US" w:eastAsia="zh-CN"/>
        </w:rPr>
        <w:t xml:space="preserve"> is broadcast by mobile IAB cell.</w:t>
      </w:r>
    </w:p>
    <w:p>
      <w:pPr>
        <w:jc w:val="both"/>
        <w:rPr>
          <w:rFonts w:hint="default" w:eastAsia="宋体"/>
          <w:b/>
          <w:bCs/>
          <w:lang w:val="en-US" w:eastAsia="zh-CN"/>
        </w:rPr>
      </w:pPr>
      <w:r>
        <w:rPr>
          <w:rFonts w:hint="eastAsia"/>
          <w:b/>
          <w:bCs/>
          <w:lang w:val="en-US" w:eastAsia="zh-CN"/>
        </w:rPr>
        <w:t xml:space="preserve">Proposal 3: RAN2 to confirm that the </w:t>
      </w:r>
      <w:r>
        <w:rPr>
          <w:rFonts w:hint="eastAsia" w:eastAsia="Batang"/>
          <w:b/>
          <w:bCs/>
        </w:rPr>
        <w:t>mobile-IAB cell type indication</w:t>
      </w:r>
      <w:r>
        <w:rPr>
          <w:rFonts w:hint="eastAsia"/>
          <w:b/>
          <w:bCs/>
          <w:lang w:val="en-US" w:eastAsia="zh-CN"/>
        </w:rPr>
        <w:t xml:space="preserve"> is broadcast by mobile IAB cell.</w:t>
      </w:r>
    </w:p>
    <w:p>
      <w:pPr>
        <w:jc w:val="both"/>
        <w:rPr>
          <w:rFonts w:hint="default"/>
          <w:lang w:val="en-US" w:eastAsia="zh-CN"/>
        </w:rPr>
      </w:pPr>
      <w:r>
        <w:t xml:space="preserve">In addition to normal cell reselection, a UE may optionally use an autonomous search function to detect </w:t>
      </w:r>
      <w:r>
        <w:rPr>
          <w:rFonts w:hint="eastAsia"/>
          <w:lang w:val="en-US" w:eastAsia="zh-CN"/>
        </w:rPr>
        <w:t>mobile IAB</w:t>
      </w:r>
      <w:r>
        <w:t xml:space="preserve"> cells on serving and non-serving frequencies. </w:t>
      </w:r>
      <w:r>
        <w:rPr>
          <w:rFonts w:hint="eastAsia"/>
          <w:lang w:val="en-US" w:eastAsia="zh-CN"/>
        </w:rPr>
        <w:t xml:space="preserve">In this case, the UE may </w:t>
      </w:r>
      <w:r>
        <w:rPr>
          <w:snapToGrid w:val="0"/>
        </w:rPr>
        <w:t>us</w:t>
      </w:r>
      <w:r>
        <w:rPr>
          <w:rFonts w:hint="eastAsia"/>
          <w:snapToGrid w:val="0"/>
          <w:lang w:val="en-US" w:eastAsia="zh-CN"/>
        </w:rPr>
        <w:t>e</w:t>
      </w:r>
      <w:r>
        <w:rPr>
          <w:snapToGrid w:val="0"/>
        </w:rPr>
        <w:t xml:space="preserve"> </w:t>
      </w:r>
      <w:r>
        <w:t xml:space="preserve">stored information e.g. frequencies and optionally also cell parameters from previously </w:t>
      </w:r>
      <w:r>
        <w:rPr>
          <w:rFonts w:hint="eastAsia"/>
          <w:lang w:val="en-US" w:eastAsia="zh-CN"/>
        </w:rPr>
        <w:t>camped cell</w:t>
      </w:r>
      <w:r>
        <w:t>.</w:t>
      </w:r>
      <w:r>
        <w:rPr>
          <w:rFonts w:hint="eastAsia"/>
          <w:lang w:val="en-US" w:eastAsia="zh-CN"/>
        </w:rPr>
        <w:t xml:space="preserve"> It is not necessary to include the list of frequencies for mobile IAB cells in the system information. As we mentioned before, the working frequency of mobile IAB cell changes dynamically with the migration of the mobile IAB node. It is hard to pre-configure one or more frequency layer for the mobile IAB operation. </w:t>
      </w:r>
      <w:bookmarkStart w:id="3" w:name="_GoBack"/>
      <w:bookmarkEnd w:id="3"/>
    </w:p>
    <w:p>
      <w:pPr>
        <w:jc w:val="both"/>
        <w:rPr>
          <w:rFonts w:hint="eastAsia"/>
          <w:lang w:val="en-US" w:eastAsia="zh-CN"/>
        </w:rPr>
      </w:pPr>
      <w:r>
        <w:rPr>
          <w:rFonts w:hint="eastAsia"/>
          <w:b/>
          <w:bCs/>
          <w:lang w:val="en-US" w:eastAsia="zh-CN"/>
        </w:rPr>
        <w:t xml:space="preserve">Proposal 4: </w:t>
      </w:r>
      <w:r>
        <w:rPr>
          <w:b/>
          <w:bCs/>
        </w:rPr>
        <w:t>In addition to normal cell re</w:t>
      </w:r>
      <w:r>
        <w:rPr>
          <w:rFonts w:hint="eastAsia"/>
          <w:b/>
          <w:bCs/>
          <w:lang w:val="en-US" w:eastAsia="zh-CN"/>
        </w:rPr>
        <w:t>-</w:t>
      </w:r>
      <w:r>
        <w:rPr>
          <w:b/>
          <w:bCs/>
        </w:rPr>
        <w:t xml:space="preserve">selection, a UE may optionally use an autonomous search function to detect </w:t>
      </w:r>
      <w:r>
        <w:rPr>
          <w:rFonts w:hint="eastAsia"/>
          <w:b/>
          <w:bCs/>
          <w:lang w:val="en-US" w:eastAsia="zh-CN"/>
        </w:rPr>
        <w:t>mobile IAB</w:t>
      </w:r>
      <w:r>
        <w:rPr>
          <w:b/>
          <w:bCs/>
        </w:rPr>
        <w:t xml:space="preserve"> cells on serving and non-serving frequencies.</w:t>
      </w:r>
      <w:r>
        <w:rPr>
          <w:rFonts w:hint="eastAsia"/>
          <w:b/>
          <w:bCs/>
          <w:lang w:val="en-US" w:eastAsia="zh-CN"/>
        </w:rPr>
        <w:t xml:space="preserve"> It is not necessary to include the list of frequencies for mobile IAB cells in the system information.</w:t>
      </w:r>
    </w:p>
    <w:p>
      <w:pPr>
        <w:jc w:val="both"/>
      </w:pPr>
      <w:r>
        <w:rPr>
          <w:rFonts w:hint="eastAsia"/>
        </w:rPr>
        <w:t xml:space="preserve">With the movement of mobile IAB, the PCI of mobile IAB cells may </w:t>
      </w:r>
      <w:r>
        <w:rPr>
          <w:rFonts w:hint="eastAsia"/>
          <w:lang w:val="en-US" w:eastAsia="zh-CN"/>
        </w:rPr>
        <w:t>also change to avoid PCI collision with neighboring cells</w:t>
      </w:r>
      <w:r>
        <w:rPr>
          <w:rFonts w:hint="eastAsia"/>
        </w:rPr>
        <w:t xml:space="preserve">. From the perspective of RRC_IDLE/INACTIVE UE, it can no longer detect the serving cell and then will initiate the intra/inter-frequency measurement. Based on this observation, it would be better to notify the camped UE with the PCI change in advance and then the camped RRC_IDLE/INACTIVE UE try to re-select the cell with new PCI. On the other hand, if the UE is not notified of the new PCI, it will continue to camped on the cell with old PCI. Suppose the old PCI is also used by the neighboring stationary cells, it may cause confusion for the RRC_IDLE/INACTIVE UE. </w:t>
      </w:r>
    </w:p>
    <w:p>
      <w:pPr>
        <w:rPr>
          <w:b/>
          <w:bCs/>
          <w:lang w:eastAsia="zh-CN"/>
        </w:rPr>
      </w:pPr>
      <w:r>
        <w:rPr>
          <w:rFonts w:hint="eastAsia"/>
          <w:b/>
          <w:bCs/>
        </w:rPr>
        <w:t xml:space="preserve">Proposal </w:t>
      </w:r>
      <w:r>
        <w:rPr>
          <w:rFonts w:hint="eastAsia"/>
          <w:b/>
          <w:bCs/>
          <w:lang w:val="en-US" w:eastAsia="zh-CN"/>
        </w:rPr>
        <w:t>5</w:t>
      </w:r>
      <w:r>
        <w:rPr>
          <w:rFonts w:hint="eastAsia"/>
          <w:b/>
          <w:bCs/>
        </w:rPr>
        <w:t>: Suppose the PCI of mobile IAB cell change</w:t>
      </w:r>
      <w:r>
        <w:rPr>
          <w:rFonts w:hint="eastAsia"/>
          <w:b/>
          <w:bCs/>
          <w:lang w:val="en-US" w:eastAsia="zh-CN"/>
        </w:rPr>
        <w:t>s</w:t>
      </w:r>
      <w:r>
        <w:rPr>
          <w:rFonts w:hint="eastAsia"/>
          <w:b/>
          <w:bCs/>
        </w:rPr>
        <w:t xml:space="preserve"> due to collision avoidance, it is suggested to notify the camped UE with the potential change in advance and then the camped RRC_IDLE/INACTIVE UE re-select</w:t>
      </w:r>
      <w:r>
        <w:rPr>
          <w:rFonts w:hint="eastAsia"/>
          <w:b/>
          <w:bCs/>
          <w:lang w:val="en-US" w:eastAsia="zh-CN"/>
        </w:rPr>
        <w:t>s</w:t>
      </w:r>
      <w:r>
        <w:rPr>
          <w:rFonts w:hint="eastAsia"/>
          <w:b/>
          <w:bCs/>
        </w:rPr>
        <w:t xml:space="preserve"> the cell with new PCI.</w:t>
      </w:r>
    </w:p>
    <w:bookmarkEnd w:id="0"/>
    <w:p>
      <w:pPr>
        <w:pStyle w:val="2"/>
        <w:jc w:val="both"/>
        <w:rPr>
          <w:rFonts w:eastAsia="宋体"/>
          <w:lang w:eastAsia="zh-CN"/>
        </w:rPr>
      </w:pPr>
      <w:bookmarkStart w:id="1" w:name="OLE_LINK2"/>
      <w:bookmarkStart w:id="2" w:name="OLE_LINK1"/>
      <w:r>
        <w:rPr>
          <w:rFonts w:hint="eastAsia" w:eastAsia="宋体"/>
          <w:lang w:eastAsia="zh-CN"/>
        </w:rPr>
        <w:t>Conclusion</w:t>
      </w:r>
    </w:p>
    <w:bookmarkEnd w:id="1"/>
    <w:bookmarkEnd w:id="2"/>
    <w:p>
      <w:pPr>
        <w:overflowPunct w:val="0"/>
        <w:autoSpaceDE w:val="0"/>
        <w:autoSpaceDN w:val="0"/>
        <w:adjustRightInd w:val="0"/>
        <w:spacing w:before="156" w:beforeLines="50"/>
        <w:jc w:val="both"/>
        <w:rPr>
          <w:lang w:val="en-US" w:eastAsia="zh-CN"/>
        </w:rPr>
      </w:pPr>
      <w:r>
        <w:rPr>
          <w:lang w:val="en-US" w:eastAsia="zh-CN"/>
        </w:rPr>
        <w:t xml:space="preserve">In this contribution, </w:t>
      </w:r>
      <w:r>
        <w:rPr>
          <w:rFonts w:hint="eastAsia"/>
          <w:lang w:val="en-US" w:eastAsia="zh-CN"/>
        </w:rPr>
        <w:t>we focus on the remaining issues for mobile IAB and present our point of view</w:t>
      </w:r>
      <w:r>
        <w:rPr>
          <w:lang w:val="en-US" w:eastAsia="zh-CN"/>
        </w:rPr>
        <w:t>.</w:t>
      </w:r>
      <w:r>
        <w:rPr>
          <w:rFonts w:hint="eastAsia"/>
          <w:lang w:val="en-US" w:eastAsia="zh-CN"/>
        </w:rPr>
        <w:t xml:space="preserve"> The following proposals are given:</w:t>
      </w:r>
    </w:p>
    <w:p>
      <w:pPr>
        <w:jc w:val="both"/>
        <w:rPr>
          <w:rFonts w:hint="eastAsia"/>
          <w:lang w:val="en-US" w:eastAsia="zh-CN"/>
        </w:rPr>
      </w:pPr>
      <w:r>
        <w:rPr>
          <w:rFonts w:hint="eastAsia"/>
          <w:b/>
          <w:bCs/>
        </w:rPr>
        <w:t xml:space="preserve">Proposal </w:t>
      </w:r>
      <w:r>
        <w:rPr>
          <w:rFonts w:hint="eastAsia"/>
          <w:b/>
          <w:bCs/>
          <w:lang w:val="en-US" w:eastAsia="zh-CN"/>
        </w:rPr>
        <w:t>1</w:t>
      </w:r>
      <w:r>
        <w:rPr>
          <w:rFonts w:hint="eastAsia"/>
          <w:b/>
          <w:bCs/>
        </w:rPr>
        <w:t>: UE camped on mobile IAB cell may regard the frequency which provide mobile IAB cell to be the highest priority</w:t>
      </w:r>
      <w:r>
        <w:rPr>
          <w:rFonts w:hint="eastAsia"/>
          <w:b/>
          <w:bCs/>
          <w:lang w:val="en-US" w:eastAsia="zh-CN"/>
        </w:rPr>
        <w:t xml:space="preserve"> so as t</w:t>
      </w:r>
      <w:r>
        <w:rPr>
          <w:rFonts w:hint="eastAsia"/>
          <w:b/>
          <w:bCs/>
        </w:rPr>
        <w:t>o avoid unnecessary inter-frequency measurement with high priority.</w:t>
      </w:r>
    </w:p>
    <w:p>
      <w:pPr>
        <w:jc w:val="both"/>
        <w:rPr>
          <w:rFonts w:hint="eastAsia"/>
          <w:b/>
          <w:bCs/>
          <w:lang w:val="en-US" w:eastAsia="zh-CN"/>
        </w:rPr>
      </w:pPr>
      <w:r>
        <w:rPr>
          <w:rFonts w:hint="eastAsia"/>
          <w:b/>
          <w:bCs/>
          <w:lang w:val="en-US" w:eastAsia="zh-CN"/>
        </w:rPr>
        <w:t>Proposal 2: If the mobile IAB cell permits the UE</w:t>
      </w:r>
      <w:r>
        <w:rPr>
          <w:rFonts w:hint="default"/>
          <w:b/>
          <w:bCs/>
          <w:lang w:val="en-US" w:eastAsia="zh-CN"/>
        </w:rPr>
        <w:t>’</w:t>
      </w:r>
      <w:r>
        <w:rPr>
          <w:rFonts w:hint="eastAsia"/>
          <w:b/>
          <w:bCs/>
          <w:lang w:val="en-US" w:eastAsia="zh-CN"/>
        </w:rPr>
        <w:t xml:space="preserve">s access (e.g. check via CAG or forbidden TA) and the mobile IAB cell is detected as the strongest candidate cell, UE may select/re-select this mobile IAB cell. It is not necessary to prioritize the mobile IAB cell during cell selection/re-selection. </w:t>
      </w:r>
    </w:p>
    <w:p>
      <w:pPr>
        <w:jc w:val="both"/>
        <w:rPr>
          <w:rFonts w:hint="default" w:eastAsia="宋体"/>
          <w:b/>
          <w:bCs/>
          <w:lang w:val="en-US" w:eastAsia="zh-CN"/>
        </w:rPr>
      </w:pPr>
      <w:r>
        <w:rPr>
          <w:rFonts w:hint="eastAsia"/>
          <w:b/>
          <w:bCs/>
          <w:lang w:val="en-US" w:eastAsia="zh-CN"/>
        </w:rPr>
        <w:t xml:space="preserve">Proposal 3: RAN2 to confirm that the </w:t>
      </w:r>
      <w:r>
        <w:rPr>
          <w:rFonts w:hint="eastAsia" w:eastAsia="Batang"/>
          <w:b/>
          <w:bCs/>
        </w:rPr>
        <w:t>mobile-IAB cell type indication</w:t>
      </w:r>
      <w:r>
        <w:rPr>
          <w:rFonts w:hint="eastAsia"/>
          <w:b/>
          <w:bCs/>
          <w:lang w:val="en-US" w:eastAsia="zh-CN"/>
        </w:rPr>
        <w:t xml:space="preserve"> is broadcast by mobile IAB cell.</w:t>
      </w:r>
    </w:p>
    <w:p>
      <w:pPr>
        <w:jc w:val="both"/>
        <w:rPr>
          <w:rFonts w:hint="eastAsia"/>
          <w:lang w:val="en-US" w:eastAsia="zh-CN"/>
        </w:rPr>
      </w:pPr>
      <w:r>
        <w:rPr>
          <w:rFonts w:hint="eastAsia"/>
          <w:b/>
          <w:bCs/>
          <w:lang w:val="en-US" w:eastAsia="zh-CN"/>
        </w:rPr>
        <w:t xml:space="preserve">Proposal 4: </w:t>
      </w:r>
      <w:r>
        <w:rPr>
          <w:b/>
          <w:bCs/>
        </w:rPr>
        <w:t>In addition to normal cell re</w:t>
      </w:r>
      <w:r>
        <w:rPr>
          <w:rFonts w:hint="eastAsia"/>
          <w:b/>
          <w:bCs/>
          <w:lang w:val="en-US" w:eastAsia="zh-CN"/>
        </w:rPr>
        <w:t>-</w:t>
      </w:r>
      <w:r>
        <w:rPr>
          <w:b/>
          <w:bCs/>
        </w:rPr>
        <w:t xml:space="preserve">selection, a UE may optionally use an autonomous search function to detect </w:t>
      </w:r>
      <w:r>
        <w:rPr>
          <w:rFonts w:hint="eastAsia"/>
          <w:b/>
          <w:bCs/>
          <w:lang w:val="en-US" w:eastAsia="zh-CN"/>
        </w:rPr>
        <w:t>mobile IAB</w:t>
      </w:r>
      <w:r>
        <w:rPr>
          <w:b/>
          <w:bCs/>
        </w:rPr>
        <w:t xml:space="preserve"> cells on serving and non-serving frequencies.</w:t>
      </w:r>
      <w:r>
        <w:rPr>
          <w:rFonts w:hint="eastAsia"/>
          <w:b/>
          <w:bCs/>
          <w:lang w:val="en-US" w:eastAsia="zh-CN"/>
        </w:rPr>
        <w:t xml:space="preserve"> It is not necessary to include the list of frequencies for mobile IAB cells in the system information.</w:t>
      </w:r>
    </w:p>
    <w:p>
      <w:pPr>
        <w:jc w:val="left"/>
        <w:rPr>
          <w:b/>
          <w:bCs/>
          <w:lang w:val="en-US" w:eastAsia="zh-CN"/>
        </w:rPr>
      </w:pPr>
      <w:r>
        <w:rPr>
          <w:rFonts w:hint="eastAsia"/>
          <w:b/>
          <w:bCs/>
        </w:rPr>
        <w:t xml:space="preserve">Proposal </w:t>
      </w:r>
      <w:r>
        <w:rPr>
          <w:rFonts w:hint="eastAsia"/>
          <w:b/>
          <w:bCs/>
          <w:lang w:val="en-US" w:eastAsia="zh-CN"/>
        </w:rPr>
        <w:t>5</w:t>
      </w:r>
      <w:r>
        <w:rPr>
          <w:rFonts w:hint="eastAsia"/>
          <w:b/>
          <w:bCs/>
        </w:rPr>
        <w:t>: Suppose the PCI of mobile IAB cell change</w:t>
      </w:r>
      <w:r>
        <w:rPr>
          <w:rFonts w:hint="eastAsia"/>
          <w:b/>
          <w:bCs/>
          <w:lang w:val="en-US" w:eastAsia="zh-CN"/>
        </w:rPr>
        <w:t>s</w:t>
      </w:r>
      <w:r>
        <w:rPr>
          <w:rFonts w:hint="eastAsia"/>
          <w:b/>
          <w:bCs/>
        </w:rPr>
        <w:t xml:space="preserve"> due to collision avoidance, it is suggested to notify the camped UE with the potential change in advance and then the camped RRC_IDLE/INACTIVE UE re-select</w:t>
      </w:r>
      <w:r>
        <w:rPr>
          <w:rFonts w:hint="eastAsia"/>
          <w:b/>
          <w:bCs/>
          <w:lang w:val="en-US" w:eastAsia="zh-CN"/>
        </w:rPr>
        <w:t>s</w:t>
      </w:r>
      <w:r>
        <w:rPr>
          <w:rFonts w:hint="eastAsia"/>
          <w:b/>
          <w:bCs/>
        </w:rPr>
        <w:t xml:space="preserve"> the cell with new PCI..</w:t>
      </w:r>
    </w:p>
    <w:p>
      <w:pPr>
        <w:pStyle w:val="2"/>
        <w:rPr>
          <w:rFonts w:eastAsia="宋体"/>
          <w:lang w:eastAsia="zh-CN"/>
        </w:rPr>
      </w:pPr>
      <w:r>
        <w:rPr>
          <w:rFonts w:hint="eastAsia" w:eastAsia="宋体"/>
          <w:lang w:eastAsia="zh-CN"/>
        </w:rPr>
        <w:t>Reference</w:t>
      </w:r>
    </w:p>
    <w:p>
      <w:pPr>
        <w:numPr>
          <w:ilvl w:val="0"/>
          <w:numId w:val="13"/>
        </w:numPr>
        <w:rPr>
          <w:lang w:val="en-US" w:eastAsia="zh-CN"/>
        </w:rPr>
      </w:pPr>
      <w:r>
        <w:rPr>
          <w:rFonts w:hint="eastAsia"/>
          <w:lang w:val="en-US" w:eastAsia="zh-CN"/>
        </w:rPr>
        <w:t>RAN2#1</w:t>
      </w:r>
      <w:r>
        <w:rPr>
          <w:lang w:val="en-US" w:eastAsia="zh-CN"/>
        </w:rPr>
        <w:t>2</w:t>
      </w:r>
      <w:r>
        <w:rPr>
          <w:rFonts w:hint="eastAsia"/>
          <w:lang w:val="en-US" w:eastAsia="zh-CN"/>
        </w:rPr>
        <w:t>1bis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504020202020204"/>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STIXTwoText">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0"/>
  </w:num>
  <w:num w:numId="6">
    <w:abstractNumId w:val="7"/>
  </w:num>
  <w:num w:numId="7">
    <w:abstractNumId w:val="4"/>
  </w:num>
  <w:num w:numId="8">
    <w:abstractNumId w:val="12"/>
  </w:num>
  <w:num w:numId="9">
    <w:abstractNumId w:val="2"/>
  </w:num>
  <w:num w:numId="10">
    <w:abstractNumId w:val="11"/>
  </w:num>
  <w:num w:numId="11">
    <w:abstractNumId w:val="8"/>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CC3"/>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3D3"/>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6F3D"/>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162"/>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5F02"/>
    <w:rsid w:val="000D5FAE"/>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3C25"/>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776"/>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0A4"/>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3DCE"/>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EB9"/>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800"/>
    <w:rsid w:val="00226AF5"/>
    <w:rsid w:val="002277A5"/>
    <w:rsid w:val="002277C5"/>
    <w:rsid w:val="00227B6C"/>
    <w:rsid w:val="00227CA3"/>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9F4"/>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8D4"/>
    <w:rsid w:val="002B3EFA"/>
    <w:rsid w:val="002B4933"/>
    <w:rsid w:val="002B49AC"/>
    <w:rsid w:val="002B4A9F"/>
    <w:rsid w:val="002B4C2C"/>
    <w:rsid w:val="002B4FA8"/>
    <w:rsid w:val="002B53B9"/>
    <w:rsid w:val="002B54B1"/>
    <w:rsid w:val="002B565A"/>
    <w:rsid w:val="002B5700"/>
    <w:rsid w:val="002B579C"/>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3E68"/>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0C7"/>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347"/>
    <w:rsid w:val="00436715"/>
    <w:rsid w:val="004367D9"/>
    <w:rsid w:val="00436F95"/>
    <w:rsid w:val="00437000"/>
    <w:rsid w:val="00437A99"/>
    <w:rsid w:val="00440408"/>
    <w:rsid w:val="004414A9"/>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9F5"/>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7F0"/>
    <w:rsid w:val="004C2F20"/>
    <w:rsid w:val="004C302A"/>
    <w:rsid w:val="004C3132"/>
    <w:rsid w:val="004C361A"/>
    <w:rsid w:val="004C4F8C"/>
    <w:rsid w:val="004C4FA4"/>
    <w:rsid w:val="004C5480"/>
    <w:rsid w:val="004C5649"/>
    <w:rsid w:val="004C67C6"/>
    <w:rsid w:val="004C6DB3"/>
    <w:rsid w:val="004C6F3E"/>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679"/>
    <w:rsid w:val="00570D10"/>
    <w:rsid w:val="0057112E"/>
    <w:rsid w:val="00571265"/>
    <w:rsid w:val="00571378"/>
    <w:rsid w:val="005713FB"/>
    <w:rsid w:val="00571966"/>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4C6F"/>
    <w:rsid w:val="005E5264"/>
    <w:rsid w:val="005E5416"/>
    <w:rsid w:val="005E5A4E"/>
    <w:rsid w:val="005E5BC1"/>
    <w:rsid w:val="005E61D9"/>
    <w:rsid w:val="005E620A"/>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4FA"/>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3C6"/>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3E0E"/>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3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5C"/>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491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7CB"/>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3A9"/>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1EC8"/>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3E14"/>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EF3"/>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5EB0"/>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2F9A"/>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55"/>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BFD"/>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3B7B86"/>
    <w:rsid w:val="01445AC8"/>
    <w:rsid w:val="014F5AEC"/>
    <w:rsid w:val="01597E34"/>
    <w:rsid w:val="015D46BF"/>
    <w:rsid w:val="016B6E25"/>
    <w:rsid w:val="016B6ED6"/>
    <w:rsid w:val="01791CB2"/>
    <w:rsid w:val="018121F4"/>
    <w:rsid w:val="0187447D"/>
    <w:rsid w:val="01AB65A1"/>
    <w:rsid w:val="01B015B0"/>
    <w:rsid w:val="01B13133"/>
    <w:rsid w:val="01B60586"/>
    <w:rsid w:val="01C2533B"/>
    <w:rsid w:val="01CC21F9"/>
    <w:rsid w:val="01E350D1"/>
    <w:rsid w:val="01EE7061"/>
    <w:rsid w:val="01EF2C9E"/>
    <w:rsid w:val="01FD79B8"/>
    <w:rsid w:val="02067CF9"/>
    <w:rsid w:val="02072962"/>
    <w:rsid w:val="021B2FD6"/>
    <w:rsid w:val="02221303"/>
    <w:rsid w:val="023853F6"/>
    <w:rsid w:val="023B380D"/>
    <w:rsid w:val="02562A14"/>
    <w:rsid w:val="025B5430"/>
    <w:rsid w:val="02674F36"/>
    <w:rsid w:val="026D607F"/>
    <w:rsid w:val="026F5973"/>
    <w:rsid w:val="027B1D57"/>
    <w:rsid w:val="027F793D"/>
    <w:rsid w:val="02865A1B"/>
    <w:rsid w:val="028B2766"/>
    <w:rsid w:val="028C3C3A"/>
    <w:rsid w:val="029E07FE"/>
    <w:rsid w:val="02B5652D"/>
    <w:rsid w:val="02CB0E0D"/>
    <w:rsid w:val="02D8526C"/>
    <w:rsid w:val="02EB38B9"/>
    <w:rsid w:val="02EE0E74"/>
    <w:rsid w:val="02F00BEE"/>
    <w:rsid w:val="02F22456"/>
    <w:rsid w:val="030026D0"/>
    <w:rsid w:val="0300644B"/>
    <w:rsid w:val="03024BFE"/>
    <w:rsid w:val="03045E57"/>
    <w:rsid w:val="03125D81"/>
    <w:rsid w:val="0335007C"/>
    <w:rsid w:val="03393D83"/>
    <w:rsid w:val="033C5EC0"/>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C3315"/>
    <w:rsid w:val="04E2571E"/>
    <w:rsid w:val="04EC7690"/>
    <w:rsid w:val="04ED10B5"/>
    <w:rsid w:val="04EE00C4"/>
    <w:rsid w:val="04F82945"/>
    <w:rsid w:val="05040A56"/>
    <w:rsid w:val="0506279A"/>
    <w:rsid w:val="05073FED"/>
    <w:rsid w:val="050C6378"/>
    <w:rsid w:val="050F171D"/>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281D5E"/>
    <w:rsid w:val="0628331F"/>
    <w:rsid w:val="062A1949"/>
    <w:rsid w:val="06367268"/>
    <w:rsid w:val="06443493"/>
    <w:rsid w:val="064C02D3"/>
    <w:rsid w:val="06525D08"/>
    <w:rsid w:val="066327A9"/>
    <w:rsid w:val="06632969"/>
    <w:rsid w:val="0665774C"/>
    <w:rsid w:val="06667182"/>
    <w:rsid w:val="06911F5C"/>
    <w:rsid w:val="069D7084"/>
    <w:rsid w:val="06A505BC"/>
    <w:rsid w:val="06BE54F4"/>
    <w:rsid w:val="06C97CEE"/>
    <w:rsid w:val="06D250A7"/>
    <w:rsid w:val="06E1106D"/>
    <w:rsid w:val="06E335A9"/>
    <w:rsid w:val="06FC6542"/>
    <w:rsid w:val="07016055"/>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B917B5"/>
    <w:rsid w:val="07CB1AF5"/>
    <w:rsid w:val="07E14486"/>
    <w:rsid w:val="07E5651E"/>
    <w:rsid w:val="07E85F02"/>
    <w:rsid w:val="07E95786"/>
    <w:rsid w:val="07E962E5"/>
    <w:rsid w:val="07F05A0E"/>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2A0717"/>
    <w:rsid w:val="092F6CCC"/>
    <w:rsid w:val="093022B2"/>
    <w:rsid w:val="093422B8"/>
    <w:rsid w:val="09352B58"/>
    <w:rsid w:val="093E6F4A"/>
    <w:rsid w:val="09457234"/>
    <w:rsid w:val="094729AB"/>
    <w:rsid w:val="094E719C"/>
    <w:rsid w:val="095E7DCF"/>
    <w:rsid w:val="096B03FF"/>
    <w:rsid w:val="096F777B"/>
    <w:rsid w:val="098113B0"/>
    <w:rsid w:val="09823672"/>
    <w:rsid w:val="09A343B5"/>
    <w:rsid w:val="09B55CF9"/>
    <w:rsid w:val="09BC2E8E"/>
    <w:rsid w:val="09BD0931"/>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81411"/>
    <w:rsid w:val="0A6F3848"/>
    <w:rsid w:val="0A7A68E3"/>
    <w:rsid w:val="0A8E5BE2"/>
    <w:rsid w:val="0A90024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52A88"/>
    <w:rsid w:val="0BB635B6"/>
    <w:rsid w:val="0BC0582C"/>
    <w:rsid w:val="0BC97B87"/>
    <w:rsid w:val="0BCD0386"/>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45E50"/>
    <w:rsid w:val="0CC868A7"/>
    <w:rsid w:val="0CCB2AFA"/>
    <w:rsid w:val="0CD07B3D"/>
    <w:rsid w:val="0CE4374C"/>
    <w:rsid w:val="0CF86EA2"/>
    <w:rsid w:val="0D090A9B"/>
    <w:rsid w:val="0D0B3AE7"/>
    <w:rsid w:val="0D1B7692"/>
    <w:rsid w:val="0D25736F"/>
    <w:rsid w:val="0D2974B3"/>
    <w:rsid w:val="0D2E50C1"/>
    <w:rsid w:val="0D315A17"/>
    <w:rsid w:val="0D4450E8"/>
    <w:rsid w:val="0D446417"/>
    <w:rsid w:val="0D473C1A"/>
    <w:rsid w:val="0D5153C6"/>
    <w:rsid w:val="0D546E25"/>
    <w:rsid w:val="0D561F10"/>
    <w:rsid w:val="0D681B0E"/>
    <w:rsid w:val="0D6876BC"/>
    <w:rsid w:val="0D76077C"/>
    <w:rsid w:val="0D796521"/>
    <w:rsid w:val="0D7E5C19"/>
    <w:rsid w:val="0D8B330B"/>
    <w:rsid w:val="0D930B9B"/>
    <w:rsid w:val="0D9533A2"/>
    <w:rsid w:val="0D9B02A5"/>
    <w:rsid w:val="0DAB6775"/>
    <w:rsid w:val="0DB827DE"/>
    <w:rsid w:val="0DCD68E1"/>
    <w:rsid w:val="0DD6175F"/>
    <w:rsid w:val="0DFF33E2"/>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74158"/>
    <w:rsid w:val="0E912655"/>
    <w:rsid w:val="0E936C61"/>
    <w:rsid w:val="0E945725"/>
    <w:rsid w:val="0E9B667F"/>
    <w:rsid w:val="0EB648ED"/>
    <w:rsid w:val="0EB76970"/>
    <w:rsid w:val="0EBD130E"/>
    <w:rsid w:val="0EC10662"/>
    <w:rsid w:val="0ED23F89"/>
    <w:rsid w:val="0EFC7DA7"/>
    <w:rsid w:val="0EFE523A"/>
    <w:rsid w:val="0F142574"/>
    <w:rsid w:val="0F245617"/>
    <w:rsid w:val="0F46488F"/>
    <w:rsid w:val="0F4C36C8"/>
    <w:rsid w:val="0F5F0E06"/>
    <w:rsid w:val="0F640159"/>
    <w:rsid w:val="0F6C61FA"/>
    <w:rsid w:val="0F6C7B75"/>
    <w:rsid w:val="0F7052E6"/>
    <w:rsid w:val="0F772B49"/>
    <w:rsid w:val="0F7D7A1F"/>
    <w:rsid w:val="0F802E0A"/>
    <w:rsid w:val="0F805F18"/>
    <w:rsid w:val="0F8A366F"/>
    <w:rsid w:val="0F8C1716"/>
    <w:rsid w:val="0F966505"/>
    <w:rsid w:val="0F9930A4"/>
    <w:rsid w:val="0F9B5B18"/>
    <w:rsid w:val="0F9E41B4"/>
    <w:rsid w:val="0F9F05E5"/>
    <w:rsid w:val="0FA846DC"/>
    <w:rsid w:val="0FAF752F"/>
    <w:rsid w:val="0FB72C2B"/>
    <w:rsid w:val="0FCA20EB"/>
    <w:rsid w:val="0FCD0C7F"/>
    <w:rsid w:val="0FCD1445"/>
    <w:rsid w:val="0FCD2861"/>
    <w:rsid w:val="0FD36F03"/>
    <w:rsid w:val="0FD95BF4"/>
    <w:rsid w:val="0FDA54AA"/>
    <w:rsid w:val="0FDD75AE"/>
    <w:rsid w:val="0FE46501"/>
    <w:rsid w:val="0FF237A8"/>
    <w:rsid w:val="100150A0"/>
    <w:rsid w:val="10032C53"/>
    <w:rsid w:val="10161BA7"/>
    <w:rsid w:val="10244F0E"/>
    <w:rsid w:val="102E4420"/>
    <w:rsid w:val="1032683E"/>
    <w:rsid w:val="10374454"/>
    <w:rsid w:val="103F1735"/>
    <w:rsid w:val="10442CB0"/>
    <w:rsid w:val="104500A8"/>
    <w:rsid w:val="104F012F"/>
    <w:rsid w:val="106606A4"/>
    <w:rsid w:val="106C17A6"/>
    <w:rsid w:val="107A0C72"/>
    <w:rsid w:val="10810AA8"/>
    <w:rsid w:val="10880446"/>
    <w:rsid w:val="109C2255"/>
    <w:rsid w:val="10AE1171"/>
    <w:rsid w:val="10C97528"/>
    <w:rsid w:val="10CC36E9"/>
    <w:rsid w:val="10D1157C"/>
    <w:rsid w:val="10E55F62"/>
    <w:rsid w:val="10EE6FEE"/>
    <w:rsid w:val="11003578"/>
    <w:rsid w:val="11205E74"/>
    <w:rsid w:val="112325DA"/>
    <w:rsid w:val="112742FC"/>
    <w:rsid w:val="112F045E"/>
    <w:rsid w:val="11312E7E"/>
    <w:rsid w:val="114762BA"/>
    <w:rsid w:val="114B43DF"/>
    <w:rsid w:val="115C2787"/>
    <w:rsid w:val="1161496B"/>
    <w:rsid w:val="116C578C"/>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C6383"/>
    <w:rsid w:val="12EE33AC"/>
    <w:rsid w:val="12EF6841"/>
    <w:rsid w:val="12F571E9"/>
    <w:rsid w:val="13080271"/>
    <w:rsid w:val="1311514F"/>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45292"/>
    <w:rsid w:val="14F4722B"/>
    <w:rsid w:val="14F65C86"/>
    <w:rsid w:val="14F70046"/>
    <w:rsid w:val="14F76726"/>
    <w:rsid w:val="14FB45CA"/>
    <w:rsid w:val="150C1BA5"/>
    <w:rsid w:val="151123EF"/>
    <w:rsid w:val="15125701"/>
    <w:rsid w:val="1516018E"/>
    <w:rsid w:val="151A2B60"/>
    <w:rsid w:val="15217D77"/>
    <w:rsid w:val="152A1E52"/>
    <w:rsid w:val="1542182D"/>
    <w:rsid w:val="15551327"/>
    <w:rsid w:val="15587802"/>
    <w:rsid w:val="15611C97"/>
    <w:rsid w:val="15714BE7"/>
    <w:rsid w:val="15777BF2"/>
    <w:rsid w:val="1587701B"/>
    <w:rsid w:val="158C19B1"/>
    <w:rsid w:val="15971401"/>
    <w:rsid w:val="15987EDF"/>
    <w:rsid w:val="159F6551"/>
    <w:rsid w:val="15AA6AD1"/>
    <w:rsid w:val="15AB1179"/>
    <w:rsid w:val="15B4366E"/>
    <w:rsid w:val="15B65D6A"/>
    <w:rsid w:val="15CB362E"/>
    <w:rsid w:val="15D61985"/>
    <w:rsid w:val="15E5132B"/>
    <w:rsid w:val="15E6781B"/>
    <w:rsid w:val="15EF0DB2"/>
    <w:rsid w:val="15F1298D"/>
    <w:rsid w:val="15F522CC"/>
    <w:rsid w:val="15F76C35"/>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A31B6A"/>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879C9"/>
    <w:rsid w:val="19E90A65"/>
    <w:rsid w:val="19F13C55"/>
    <w:rsid w:val="19F3039F"/>
    <w:rsid w:val="19F756C5"/>
    <w:rsid w:val="1A0301A3"/>
    <w:rsid w:val="1A06256E"/>
    <w:rsid w:val="1A145E68"/>
    <w:rsid w:val="1A197C48"/>
    <w:rsid w:val="1A1B7AF6"/>
    <w:rsid w:val="1A1E4DFD"/>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1B32"/>
    <w:rsid w:val="1A894F17"/>
    <w:rsid w:val="1A8D7BE0"/>
    <w:rsid w:val="1A986421"/>
    <w:rsid w:val="1A9A7539"/>
    <w:rsid w:val="1AA03E54"/>
    <w:rsid w:val="1AA11FE9"/>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05DE3"/>
    <w:rsid w:val="1BA27232"/>
    <w:rsid w:val="1BA5533C"/>
    <w:rsid w:val="1BB56BB3"/>
    <w:rsid w:val="1BB90FC0"/>
    <w:rsid w:val="1BCA1C0C"/>
    <w:rsid w:val="1BD64E8D"/>
    <w:rsid w:val="1BDC0BD9"/>
    <w:rsid w:val="1BEC765B"/>
    <w:rsid w:val="1BEE67BD"/>
    <w:rsid w:val="1BF0772F"/>
    <w:rsid w:val="1BF47D45"/>
    <w:rsid w:val="1BF57AB9"/>
    <w:rsid w:val="1C023AC3"/>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96878"/>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46ED1"/>
    <w:rsid w:val="21964D08"/>
    <w:rsid w:val="21A61743"/>
    <w:rsid w:val="21AE0533"/>
    <w:rsid w:val="21B5378E"/>
    <w:rsid w:val="21CE6894"/>
    <w:rsid w:val="21D66EB2"/>
    <w:rsid w:val="21D677FD"/>
    <w:rsid w:val="21E359B2"/>
    <w:rsid w:val="22011200"/>
    <w:rsid w:val="22067AB1"/>
    <w:rsid w:val="220C6CB6"/>
    <w:rsid w:val="220D51F5"/>
    <w:rsid w:val="220E4D48"/>
    <w:rsid w:val="22201BFF"/>
    <w:rsid w:val="22274ED6"/>
    <w:rsid w:val="22287020"/>
    <w:rsid w:val="222E0FAA"/>
    <w:rsid w:val="222F007E"/>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73646"/>
    <w:rsid w:val="22FA30ED"/>
    <w:rsid w:val="22FD074A"/>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33D86"/>
    <w:rsid w:val="23C50EBC"/>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2D09BB"/>
    <w:rsid w:val="2430254A"/>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E4818"/>
    <w:rsid w:val="265F0495"/>
    <w:rsid w:val="265F59FB"/>
    <w:rsid w:val="266555A1"/>
    <w:rsid w:val="2669016B"/>
    <w:rsid w:val="266979EC"/>
    <w:rsid w:val="267366B5"/>
    <w:rsid w:val="267A50E3"/>
    <w:rsid w:val="26940FAA"/>
    <w:rsid w:val="26A61A31"/>
    <w:rsid w:val="26A979B6"/>
    <w:rsid w:val="26AE5365"/>
    <w:rsid w:val="26B01E3E"/>
    <w:rsid w:val="26B506F6"/>
    <w:rsid w:val="26CB4EC9"/>
    <w:rsid w:val="26CC4EED"/>
    <w:rsid w:val="26DD5ADB"/>
    <w:rsid w:val="26DE6381"/>
    <w:rsid w:val="26E25FB5"/>
    <w:rsid w:val="26E43629"/>
    <w:rsid w:val="26E80BEB"/>
    <w:rsid w:val="26ED06D9"/>
    <w:rsid w:val="26ED270B"/>
    <w:rsid w:val="26F07E40"/>
    <w:rsid w:val="26F207AC"/>
    <w:rsid w:val="27025570"/>
    <w:rsid w:val="270636C6"/>
    <w:rsid w:val="270B24B1"/>
    <w:rsid w:val="271640FF"/>
    <w:rsid w:val="27203B3F"/>
    <w:rsid w:val="27261664"/>
    <w:rsid w:val="272A5204"/>
    <w:rsid w:val="273534DB"/>
    <w:rsid w:val="27355906"/>
    <w:rsid w:val="275609E0"/>
    <w:rsid w:val="27603599"/>
    <w:rsid w:val="276C3B61"/>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80C36A8"/>
    <w:rsid w:val="281F1DE5"/>
    <w:rsid w:val="2820368C"/>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3678D"/>
    <w:rsid w:val="29906E90"/>
    <w:rsid w:val="29907280"/>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D37E2"/>
    <w:rsid w:val="2A040F28"/>
    <w:rsid w:val="2A053652"/>
    <w:rsid w:val="2A067415"/>
    <w:rsid w:val="2A0800E5"/>
    <w:rsid w:val="2A0A2044"/>
    <w:rsid w:val="2A0F4C0F"/>
    <w:rsid w:val="2A11085A"/>
    <w:rsid w:val="2A1A3866"/>
    <w:rsid w:val="2A1E00C4"/>
    <w:rsid w:val="2A212DCF"/>
    <w:rsid w:val="2A266B79"/>
    <w:rsid w:val="2A2D10E2"/>
    <w:rsid w:val="2A406D3A"/>
    <w:rsid w:val="2A407645"/>
    <w:rsid w:val="2A505939"/>
    <w:rsid w:val="2A50703B"/>
    <w:rsid w:val="2A516190"/>
    <w:rsid w:val="2A6E29BB"/>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166A2"/>
    <w:rsid w:val="2B8A79C9"/>
    <w:rsid w:val="2B8D6E76"/>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16DB2"/>
    <w:rsid w:val="2C324612"/>
    <w:rsid w:val="2C3A29A8"/>
    <w:rsid w:val="2C4053CD"/>
    <w:rsid w:val="2C474372"/>
    <w:rsid w:val="2C491884"/>
    <w:rsid w:val="2C4D6410"/>
    <w:rsid w:val="2C4E5281"/>
    <w:rsid w:val="2C4E7CEA"/>
    <w:rsid w:val="2C506EE9"/>
    <w:rsid w:val="2C5246A6"/>
    <w:rsid w:val="2C5E27E1"/>
    <w:rsid w:val="2C5E3727"/>
    <w:rsid w:val="2C677685"/>
    <w:rsid w:val="2C771849"/>
    <w:rsid w:val="2C7F3AC3"/>
    <w:rsid w:val="2C806B61"/>
    <w:rsid w:val="2C981A73"/>
    <w:rsid w:val="2C9F3440"/>
    <w:rsid w:val="2CA1068F"/>
    <w:rsid w:val="2CD23532"/>
    <w:rsid w:val="2CE074B2"/>
    <w:rsid w:val="2CEC6471"/>
    <w:rsid w:val="2CEF1368"/>
    <w:rsid w:val="2D0C15E0"/>
    <w:rsid w:val="2D1E7CD5"/>
    <w:rsid w:val="2D2140D4"/>
    <w:rsid w:val="2D2519AA"/>
    <w:rsid w:val="2D2C4AF5"/>
    <w:rsid w:val="2D3523C5"/>
    <w:rsid w:val="2D3D77C2"/>
    <w:rsid w:val="2D4957EB"/>
    <w:rsid w:val="2D4F527C"/>
    <w:rsid w:val="2D5233D5"/>
    <w:rsid w:val="2D64342C"/>
    <w:rsid w:val="2D644C4A"/>
    <w:rsid w:val="2D810A54"/>
    <w:rsid w:val="2D880A3C"/>
    <w:rsid w:val="2D914D1C"/>
    <w:rsid w:val="2DA17515"/>
    <w:rsid w:val="2DA64F75"/>
    <w:rsid w:val="2DAE5715"/>
    <w:rsid w:val="2DCE3801"/>
    <w:rsid w:val="2DD61BAF"/>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3CBF"/>
    <w:rsid w:val="2F225061"/>
    <w:rsid w:val="2F234949"/>
    <w:rsid w:val="2F320A6A"/>
    <w:rsid w:val="2F323B43"/>
    <w:rsid w:val="2F7215C9"/>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E32A99"/>
    <w:rsid w:val="2FE96701"/>
    <w:rsid w:val="2FEA5B08"/>
    <w:rsid w:val="30013724"/>
    <w:rsid w:val="30036934"/>
    <w:rsid w:val="300762C4"/>
    <w:rsid w:val="302374AB"/>
    <w:rsid w:val="30326E67"/>
    <w:rsid w:val="303760BE"/>
    <w:rsid w:val="303D1568"/>
    <w:rsid w:val="3044343B"/>
    <w:rsid w:val="304527A5"/>
    <w:rsid w:val="305460EA"/>
    <w:rsid w:val="30572BB4"/>
    <w:rsid w:val="30681CC3"/>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B2EBD"/>
    <w:rsid w:val="313860E8"/>
    <w:rsid w:val="314E0F4E"/>
    <w:rsid w:val="31581D78"/>
    <w:rsid w:val="31585E6C"/>
    <w:rsid w:val="31620B84"/>
    <w:rsid w:val="316371DA"/>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A7BE0"/>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60D07"/>
    <w:rsid w:val="343867BA"/>
    <w:rsid w:val="34503097"/>
    <w:rsid w:val="34520356"/>
    <w:rsid w:val="34527C61"/>
    <w:rsid w:val="345430D2"/>
    <w:rsid w:val="34660FEA"/>
    <w:rsid w:val="34753C76"/>
    <w:rsid w:val="347C09B4"/>
    <w:rsid w:val="348204F6"/>
    <w:rsid w:val="34A32535"/>
    <w:rsid w:val="34A54D1F"/>
    <w:rsid w:val="34A74F24"/>
    <w:rsid w:val="34A75CA9"/>
    <w:rsid w:val="34A93B2F"/>
    <w:rsid w:val="34C80D42"/>
    <w:rsid w:val="34CB1BE2"/>
    <w:rsid w:val="34CF55D8"/>
    <w:rsid w:val="34DA4CC4"/>
    <w:rsid w:val="34DD2BAF"/>
    <w:rsid w:val="34E22C82"/>
    <w:rsid w:val="34ED554C"/>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60457CD"/>
    <w:rsid w:val="360C48D4"/>
    <w:rsid w:val="3614666F"/>
    <w:rsid w:val="362122CF"/>
    <w:rsid w:val="36216492"/>
    <w:rsid w:val="362175E3"/>
    <w:rsid w:val="36233A56"/>
    <w:rsid w:val="362F33A6"/>
    <w:rsid w:val="363227C3"/>
    <w:rsid w:val="36330800"/>
    <w:rsid w:val="36393F82"/>
    <w:rsid w:val="363C1F19"/>
    <w:rsid w:val="364C2240"/>
    <w:rsid w:val="365518A9"/>
    <w:rsid w:val="36574062"/>
    <w:rsid w:val="365C5345"/>
    <w:rsid w:val="3665488E"/>
    <w:rsid w:val="366672BA"/>
    <w:rsid w:val="3666775F"/>
    <w:rsid w:val="366A1EAC"/>
    <w:rsid w:val="366D54D3"/>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C5A8E"/>
    <w:rsid w:val="37B62A54"/>
    <w:rsid w:val="37B936C4"/>
    <w:rsid w:val="37BA6B56"/>
    <w:rsid w:val="37C33968"/>
    <w:rsid w:val="37C9011D"/>
    <w:rsid w:val="37D2221A"/>
    <w:rsid w:val="37DF18DD"/>
    <w:rsid w:val="37EB3320"/>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9C3B40"/>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9A42B3"/>
    <w:rsid w:val="399F6BF2"/>
    <w:rsid w:val="39AC7FB9"/>
    <w:rsid w:val="39C13BDE"/>
    <w:rsid w:val="39CD394E"/>
    <w:rsid w:val="39D7602C"/>
    <w:rsid w:val="39E46CE2"/>
    <w:rsid w:val="39E6596C"/>
    <w:rsid w:val="39F55613"/>
    <w:rsid w:val="39FA4F95"/>
    <w:rsid w:val="3A0C1ED6"/>
    <w:rsid w:val="3A1A3CE0"/>
    <w:rsid w:val="3A320C69"/>
    <w:rsid w:val="3A381454"/>
    <w:rsid w:val="3A38627D"/>
    <w:rsid w:val="3A3A7804"/>
    <w:rsid w:val="3A3F482E"/>
    <w:rsid w:val="3A456D61"/>
    <w:rsid w:val="3A4F6FF7"/>
    <w:rsid w:val="3A517B3B"/>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A3C2B"/>
    <w:rsid w:val="3B5B35CC"/>
    <w:rsid w:val="3B6A7FA4"/>
    <w:rsid w:val="3B7D1DE3"/>
    <w:rsid w:val="3B8758EE"/>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F3656"/>
    <w:rsid w:val="3CB9591F"/>
    <w:rsid w:val="3CCA684F"/>
    <w:rsid w:val="3CD87CE5"/>
    <w:rsid w:val="3CDB68D4"/>
    <w:rsid w:val="3CF810D4"/>
    <w:rsid w:val="3CF878B5"/>
    <w:rsid w:val="3CFA31FE"/>
    <w:rsid w:val="3D1665CB"/>
    <w:rsid w:val="3D1D0816"/>
    <w:rsid w:val="3D1F05EA"/>
    <w:rsid w:val="3D263D34"/>
    <w:rsid w:val="3D2820F7"/>
    <w:rsid w:val="3D292B9B"/>
    <w:rsid w:val="3D362589"/>
    <w:rsid w:val="3D3B7E48"/>
    <w:rsid w:val="3D4A4187"/>
    <w:rsid w:val="3D5331A4"/>
    <w:rsid w:val="3D6515EC"/>
    <w:rsid w:val="3D757BFC"/>
    <w:rsid w:val="3D78217F"/>
    <w:rsid w:val="3D7B110C"/>
    <w:rsid w:val="3D7B2B7D"/>
    <w:rsid w:val="3D7F5027"/>
    <w:rsid w:val="3D822306"/>
    <w:rsid w:val="3D846601"/>
    <w:rsid w:val="3D8D4C5B"/>
    <w:rsid w:val="3D990950"/>
    <w:rsid w:val="3D9B563C"/>
    <w:rsid w:val="3D9F2F43"/>
    <w:rsid w:val="3DA1484A"/>
    <w:rsid w:val="3DB83A86"/>
    <w:rsid w:val="3DD318B1"/>
    <w:rsid w:val="3DD76B16"/>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61A44"/>
    <w:rsid w:val="3E8C5B70"/>
    <w:rsid w:val="3E8E4694"/>
    <w:rsid w:val="3EAC7552"/>
    <w:rsid w:val="3EBB30DC"/>
    <w:rsid w:val="3EBC0187"/>
    <w:rsid w:val="3EC2705F"/>
    <w:rsid w:val="3EC95C36"/>
    <w:rsid w:val="3ED139A0"/>
    <w:rsid w:val="3ED81B0F"/>
    <w:rsid w:val="3ED82985"/>
    <w:rsid w:val="3EE11DB9"/>
    <w:rsid w:val="3EED4169"/>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6F46F4"/>
    <w:rsid w:val="3F73683D"/>
    <w:rsid w:val="3F8F2470"/>
    <w:rsid w:val="3F924486"/>
    <w:rsid w:val="3F932306"/>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2844"/>
    <w:rsid w:val="403F66AE"/>
    <w:rsid w:val="40616B63"/>
    <w:rsid w:val="40795CC3"/>
    <w:rsid w:val="409D37D8"/>
    <w:rsid w:val="40A3094D"/>
    <w:rsid w:val="40A416F9"/>
    <w:rsid w:val="40B871C9"/>
    <w:rsid w:val="40C61BF7"/>
    <w:rsid w:val="40CE4174"/>
    <w:rsid w:val="40CF1488"/>
    <w:rsid w:val="40D20597"/>
    <w:rsid w:val="40D637A8"/>
    <w:rsid w:val="40DC577F"/>
    <w:rsid w:val="40E55521"/>
    <w:rsid w:val="40E639A3"/>
    <w:rsid w:val="40FA1D61"/>
    <w:rsid w:val="41113B6A"/>
    <w:rsid w:val="411A46AB"/>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B7FE7"/>
    <w:rsid w:val="42347B8C"/>
    <w:rsid w:val="423F58B0"/>
    <w:rsid w:val="424A769B"/>
    <w:rsid w:val="425B4E45"/>
    <w:rsid w:val="426364A4"/>
    <w:rsid w:val="426659CA"/>
    <w:rsid w:val="427D3909"/>
    <w:rsid w:val="42833005"/>
    <w:rsid w:val="428938C8"/>
    <w:rsid w:val="428C0F63"/>
    <w:rsid w:val="42955251"/>
    <w:rsid w:val="42961E1B"/>
    <w:rsid w:val="42AE02FA"/>
    <w:rsid w:val="42B068BB"/>
    <w:rsid w:val="42B468CD"/>
    <w:rsid w:val="42B9429B"/>
    <w:rsid w:val="42B9482F"/>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5F7783"/>
    <w:rsid w:val="43610390"/>
    <w:rsid w:val="43655414"/>
    <w:rsid w:val="436C45D3"/>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B7EAE"/>
    <w:rsid w:val="43F17B3E"/>
    <w:rsid w:val="43F52B50"/>
    <w:rsid w:val="440241BD"/>
    <w:rsid w:val="44114BC2"/>
    <w:rsid w:val="4438124B"/>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7643A"/>
    <w:rsid w:val="44980F16"/>
    <w:rsid w:val="44A941C7"/>
    <w:rsid w:val="44AA6EDB"/>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672C8"/>
    <w:rsid w:val="450A34B2"/>
    <w:rsid w:val="450B6097"/>
    <w:rsid w:val="450D54C5"/>
    <w:rsid w:val="45157186"/>
    <w:rsid w:val="451F6997"/>
    <w:rsid w:val="451F7229"/>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051284"/>
    <w:rsid w:val="471657E9"/>
    <w:rsid w:val="471F1214"/>
    <w:rsid w:val="472C4A36"/>
    <w:rsid w:val="472C799C"/>
    <w:rsid w:val="47397427"/>
    <w:rsid w:val="47410E2B"/>
    <w:rsid w:val="4743147C"/>
    <w:rsid w:val="47461CED"/>
    <w:rsid w:val="474F0CC2"/>
    <w:rsid w:val="4750010D"/>
    <w:rsid w:val="47521896"/>
    <w:rsid w:val="4753289C"/>
    <w:rsid w:val="475E7A1B"/>
    <w:rsid w:val="47663784"/>
    <w:rsid w:val="476F7F1E"/>
    <w:rsid w:val="47761038"/>
    <w:rsid w:val="4782366D"/>
    <w:rsid w:val="478477BF"/>
    <w:rsid w:val="47887982"/>
    <w:rsid w:val="47A02DCD"/>
    <w:rsid w:val="47A14D10"/>
    <w:rsid w:val="47AC37A8"/>
    <w:rsid w:val="47B41473"/>
    <w:rsid w:val="47BA7A7F"/>
    <w:rsid w:val="47BC192F"/>
    <w:rsid w:val="47C36D5A"/>
    <w:rsid w:val="47D146EE"/>
    <w:rsid w:val="47D80C92"/>
    <w:rsid w:val="47DD65EF"/>
    <w:rsid w:val="47E224DA"/>
    <w:rsid w:val="47E63EB0"/>
    <w:rsid w:val="47FB0A7D"/>
    <w:rsid w:val="47FB271A"/>
    <w:rsid w:val="47FD33E9"/>
    <w:rsid w:val="48082361"/>
    <w:rsid w:val="48103631"/>
    <w:rsid w:val="48116A3B"/>
    <w:rsid w:val="481A4F49"/>
    <w:rsid w:val="48207BF3"/>
    <w:rsid w:val="4828058E"/>
    <w:rsid w:val="4835467E"/>
    <w:rsid w:val="484418D4"/>
    <w:rsid w:val="48504941"/>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A2B4C"/>
    <w:rsid w:val="48FB462C"/>
    <w:rsid w:val="48FD7C3D"/>
    <w:rsid w:val="49041D35"/>
    <w:rsid w:val="49042EB0"/>
    <w:rsid w:val="490C48C8"/>
    <w:rsid w:val="49182F5B"/>
    <w:rsid w:val="492D1768"/>
    <w:rsid w:val="49382013"/>
    <w:rsid w:val="4948094D"/>
    <w:rsid w:val="494B7C8C"/>
    <w:rsid w:val="494D1926"/>
    <w:rsid w:val="49534A38"/>
    <w:rsid w:val="49577F5B"/>
    <w:rsid w:val="49590A49"/>
    <w:rsid w:val="495D420F"/>
    <w:rsid w:val="497271BB"/>
    <w:rsid w:val="497C1D1C"/>
    <w:rsid w:val="49802100"/>
    <w:rsid w:val="49831F08"/>
    <w:rsid w:val="4994097A"/>
    <w:rsid w:val="49993BA8"/>
    <w:rsid w:val="49A177C4"/>
    <w:rsid w:val="49CF34DB"/>
    <w:rsid w:val="49EC5752"/>
    <w:rsid w:val="49F80AFA"/>
    <w:rsid w:val="49FA1131"/>
    <w:rsid w:val="4A117D4D"/>
    <w:rsid w:val="4A1A0CF9"/>
    <w:rsid w:val="4A1C0557"/>
    <w:rsid w:val="4A2B230E"/>
    <w:rsid w:val="4A43365A"/>
    <w:rsid w:val="4A466DFD"/>
    <w:rsid w:val="4A576003"/>
    <w:rsid w:val="4A583EFA"/>
    <w:rsid w:val="4A5B688E"/>
    <w:rsid w:val="4A6041B4"/>
    <w:rsid w:val="4A66406B"/>
    <w:rsid w:val="4A78542D"/>
    <w:rsid w:val="4A8A0E3B"/>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44027A"/>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D16ED"/>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5508A"/>
    <w:rsid w:val="4D0B7AE4"/>
    <w:rsid w:val="4D0F43B2"/>
    <w:rsid w:val="4D192644"/>
    <w:rsid w:val="4D254D1C"/>
    <w:rsid w:val="4D2D33D9"/>
    <w:rsid w:val="4D2D6815"/>
    <w:rsid w:val="4D2E0D3C"/>
    <w:rsid w:val="4D44167E"/>
    <w:rsid w:val="4D4C1706"/>
    <w:rsid w:val="4D4D3325"/>
    <w:rsid w:val="4D507170"/>
    <w:rsid w:val="4D546472"/>
    <w:rsid w:val="4D566FBA"/>
    <w:rsid w:val="4D5C6A6D"/>
    <w:rsid w:val="4D61137D"/>
    <w:rsid w:val="4D6122A3"/>
    <w:rsid w:val="4D7866A7"/>
    <w:rsid w:val="4D7F1845"/>
    <w:rsid w:val="4D8A67DA"/>
    <w:rsid w:val="4D8B7947"/>
    <w:rsid w:val="4D943AE7"/>
    <w:rsid w:val="4D9A7380"/>
    <w:rsid w:val="4D9C3A4E"/>
    <w:rsid w:val="4DA4710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AF5B07"/>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65906"/>
    <w:rsid w:val="5002580D"/>
    <w:rsid w:val="50051910"/>
    <w:rsid w:val="500F0075"/>
    <w:rsid w:val="5015696D"/>
    <w:rsid w:val="501D74BB"/>
    <w:rsid w:val="503D0C67"/>
    <w:rsid w:val="505D0E93"/>
    <w:rsid w:val="505E33D2"/>
    <w:rsid w:val="506864A0"/>
    <w:rsid w:val="506A2CAA"/>
    <w:rsid w:val="50732542"/>
    <w:rsid w:val="507F5036"/>
    <w:rsid w:val="5082218B"/>
    <w:rsid w:val="508473EB"/>
    <w:rsid w:val="50920323"/>
    <w:rsid w:val="50940B12"/>
    <w:rsid w:val="50A0041B"/>
    <w:rsid w:val="50A67EB6"/>
    <w:rsid w:val="50B1339B"/>
    <w:rsid w:val="50B70C6B"/>
    <w:rsid w:val="50BA1A6F"/>
    <w:rsid w:val="50C12149"/>
    <w:rsid w:val="50C537C4"/>
    <w:rsid w:val="50CA6EF3"/>
    <w:rsid w:val="50CC3171"/>
    <w:rsid w:val="50CE7F99"/>
    <w:rsid w:val="50D224FE"/>
    <w:rsid w:val="50D779AB"/>
    <w:rsid w:val="50DD0E91"/>
    <w:rsid w:val="50E35BE8"/>
    <w:rsid w:val="50E90AEE"/>
    <w:rsid w:val="5106299D"/>
    <w:rsid w:val="51075B17"/>
    <w:rsid w:val="5111310C"/>
    <w:rsid w:val="51143632"/>
    <w:rsid w:val="511545C1"/>
    <w:rsid w:val="511B61E3"/>
    <w:rsid w:val="511F667B"/>
    <w:rsid w:val="512310E9"/>
    <w:rsid w:val="512D47FF"/>
    <w:rsid w:val="513C5240"/>
    <w:rsid w:val="514149D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BC3A00"/>
    <w:rsid w:val="51C12CF0"/>
    <w:rsid w:val="51C60563"/>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538D"/>
    <w:rsid w:val="525C6928"/>
    <w:rsid w:val="52672BEC"/>
    <w:rsid w:val="52810C92"/>
    <w:rsid w:val="52921FEB"/>
    <w:rsid w:val="529F48AC"/>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76039"/>
    <w:rsid w:val="548258F9"/>
    <w:rsid w:val="548D602A"/>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737B32"/>
    <w:rsid w:val="55744BF2"/>
    <w:rsid w:val="557F757A"/>
    <w:rsid w:val="55837950"/>
    <w:rsid w:val="558576DE"/>
    <w:rsid w:val="5589224B"/>
    <w:rsid w:val="55936FAF"/>
    <w:rsid w:val="5594058C"/>
    <w:rsid w:val="55996C79"/>
    <w:rsid w:val="55B13E3B"/>
    <w:rsid w:val="55B52431"/>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5132"/>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11503F"/>
    <w:rsid w:val="592767A4"/>
    <w:rsid w:val="593C14F7"/>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42A8E"/>
    <w:rsid w:val="5A2536DB"/>
    <w:rsid w:val="5A3E2EA1"/>
    <w:rsid w:val="5A4011EC"/>
    <w:rsid w:val="5A4B12BA"/>
    <w:rsid w:val="5A4D7831"/>
    <w:rsid w:val="5A506DE2"/>
    <w:rsid w:val="5A562234"/>
    <w:rsid w:val="5A604318"/>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A5809"/>
    <w:rsid w:val="5B4E6F1F"/>
    <w:rsid w:val="5B5D5BD2"/>
    <w:rsid w:val="5B680989"/>
    <w:rsid w:val="5B6A4E9F"/>
    <w:rsid w:val="5B773CD4"/>
    <w:rsid w:val="5B7F2155"/>
    <w:rsid w:val="5B974D22"/>
    <w:rsid w:val="5BA14862"/>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6048B1"/>
    <w:rsid w:val="5D68099F"/>
    <w:rsid w:val="5D7277E1"/>
    <w:rsid w:val="5D89239D"/>
    <w:rsid w:val="5D8B7642"/>
    <w:rsid w:val="5D9364D0"/>
    <w:rsid w:val="5D941023"/>
    <w:rsid w:val="5D9446FC"/>
    <w:rsid w:val="5D945809"/>
    <w:rsid w:val="5DA24A75"/>
    <w:rsid w:val="5DA37A28"/>
    <w:rsid w:val="5DA43A36"/>
    <w:rsid w:val="5DBB1833"/>
    <w:rsid w:val="5DBD4FB2"/>
    <w:rsid w:val="5DC10AA6"/>
    <w:rsid w:val="5DCB38D8"/>
    <w:rsid w:val="5DCC0302"/>
    <w:rsid w:val="5DCC1273"/>
    <w:rsid w:val="5DD720A6"/>
    <w:rsid w:val="5DDC3084"/>
    <w:rsid w:val="5DDD06E5"/>
    <w:rsid w:val="5DE30993"/>
    <w:rsid w:val="5DE572D8"/>
    <w:rsid w:val="5DE919EB"/>
    <w:rsid w:val="5DED35AF"/>
    <w:rsid w:val="5DF47982"/>
    <w:rsid w:val="5E0607E2"/>
    <w:rsid w:val="5E164C8C"/>
    <w:rsid w:val="5E172580"/>
    <w:rsid w:val="5E1C531C"/>
    <w:rsid w:val="5E1D027C"/>
    <w:rsid w:val="5E233E8C"/>
    <w:rsid w:val="5E2E6C70"/>
    <w:rsid w:val="5E36149E"/>
    <w:rsid w:val="5E363C81"/>
    <w:rsid w:val="5E377C81"/>
    <w:rsid w:val="5E4359DA"/>
    <w:rsid w:val="5E4F5801"/>
    <w:rsid w:val="5E585E7C"/>
    <w:rsid w:val="5E6030AB"/>
    <w:rsid w:val="5E615A04"/>
    <w:rsid w:val="5E743FAC"/>
    <w:rsid w:val="5E7E33CC"/>
    <w:rsid w:val="5E832A97"/>
    <w:rsid w:val="5E9F226B"/>
    <w:rsid w:val="5EA71D43"/>
    <w:rsid w:val="5EB2173A"/>
    <w:rsid w:val="5EC26556"/>
    <w:rsid w:val="5EC964B1"/>
    <w:rsid w:val="5ECF5F81"/>
    <w:rsid w:val="5ED23A82"/>
    <w:rsid w:val="5EDC3E75"/>
    <w:rsid w:val="5EE33D30"/>
    <w:rsid w:val="5EE66676"/>
    <w:rsid w:val="5EF04A03"/>
    <w:rsid w:val="5EF27829"/>
    <w:rsid w:val="5EFD61E5"/>
    <w:rsid w:val="5F000C2F"/>
    <w:rsid w:val="5F046F9E"/>
    <w:rsid w:val="5F0F65F2"/>
    <w:rsid w:val="5F1A6363"/>
    <w:rsid w:val="5F1D49EB"/>
    <w:rsid w:val="5F1F0600"/>
    <w:rsid w:val="5F25246D"/>
    <w:rsid w:val="5F2705A3"/>
    <w:rsid w:val="5F2C092C"/>
    <w:rsid w:val="5F2E3297"/>
    <w:rsid w:val="5F332996"/>
    <w:rsid w:val="5F334459"/>
    <w:rsid w:val="5F354A9B"/>
    <w:rsid w:val="5F376BC0"/>
    <w:rsid w:val="5F391735"/>
    <w:rsid w:val="5F3A1804"/>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4101F2"/>
    <w:rsid w:val="61475FE0"/>
    <w:rsid w:val="614F312B"/>
    <w:rsid w:val="61541680"/>
    <w:rsid w:val="61645DD7"/>
    <w:rsid w:val="616D378A"/>
    <w:rsid w:val="61877058"/>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35154"/>
    <w:rsid w:val="636664C2"/>
    <w:rsid w:val="63683EDA"/>
    <w:rsid w:val="636B5E9C"/>
    <w:rsid w:val="63740747"/>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E58AB"/>
    <w:rsid w:val="64290E1E"/>
    <w:rsid w:val="64316EE4"/>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52E22"/>
    <w:rsid w:val="64ED25B6"/>
    <w:rsid w:val="64EE6C4C"/>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70EF6"/>
    <w:rsid w:val="65AB1D23"/>
    <w:rsid w:val="65AF68E8"/>
    <w:rsid w:val="65D04DB0"/>
    <w:rsid w:val="65D31CBC"/>
    <w:rsid w:val="65DC0DC4"/>
    <w:rsid w:val="65DC667F"/>
    <w:rsid w:val="65E13AA0"/>
    <w:rsid w:val="65EF3499"/>
    <w:rsid w:val="65F21931"/>
    <w:rsid w:val="65F8457B"/>
    <w:rsid w:val="660630D9"/>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6021E"/>
    <w:rsid w:val="672915D1"/>
    <w:rsid w:val="672C4366"/>
    <w:rsid w:val="6736595B"/>
    <w:rsid w:val="673F439C"/>
    <w:rsid w:val="673F6043"/>
    <w:rsid w:val="67473121"/>
    <w:rsid w:val="67491781"/>
    <w:rsid w:val="674B4D84"/>
    <w:rsid w:val="674C5C33"/>
    <w:rsid w:val="67595E9D"/>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36B47"/>
    <w:rsid w:val="688A194A"/>
    <w:rsid w:val="688C5D93"/>
    <w:rsid w:val="68902745"/>
    <w:rsid w:val="68B0668D"/>
    <w:rsid w:val="68B63481"/>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910008"/>
    <w:rsid w:val="6998738B"/>
    <w:rsid w:val="69A845E1"/>
    <w:rsid w:val="69B57F8E"/>
    <w:rsid w:val="69B71426"/>
    <w:rsid w:val="69B762B5"/>
    <w:rsid w:val="69BD3A29"/>
    <w:rsid w:val="69C543D9"/>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81E44"/>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B2377"/>
    <w:rsid w:val="6ABF5D7E"/>
    <w:rsid w:val="6AC01C71"/>
    <w:rsid w:val="6AC338B5"/>
    <w:rsid w:val="6AC505B4"/>
    <w:rsid w:val="6ACB27E0"/>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43A9B"/>
    <w:rsid w:val="6C07004F"/>
    <w:rsid w:val="6C0E56EA"/>
    <w:rsid w:val="6C1108A2"/>
    <w:rsid w:val="6C1366EB"/>
    <w:rsid w:val="6C1E4722"/>
    <w:rsid w:val="6C1F1739"/>
    <w:rsid w:val="6C2037A5"/>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D0471B7"/>
    <w:rsid w:val="6D0A6701"/>
    <w:rsid w:val="6D0D5442"/>
    <w:rsid w:val="6D156E90"/>
    <w:rsid w:val="6D18789A"/>
    <w:rsid w:val="6D1D5966"/>
    <w:rsid w:val="6D2476BD"/>
    <w:rsid w:val="6D2B77DD"/>
    <w:rsid w:val="6D416577"/>
    <w:rsid w:val="6D4421F3"/>
    <w:rsid w:val="6D551EC4"/>
    <w:rsid w:val="6D58029B"/>
    <w:rsid w:val="6D632E83"/>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323BA"/>
    <w:rsid w:val="6E9D1E53"/>
    <w:rsid w:val="6EB776F8"/>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B5E24"/>
    <w:rsid w:val="6FE201A5"/>
    <w:rsid w:val="6FE677C4"/>
    <w:rsid w:val="6FE71701"/>
    <w:rsid w:val="6FE75A19"/>
    <w:rsid w:val="6FF81B44"/>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2DC8"/>
    <w:rsid w:val="7182595A"/>
    <w:rsid w:val="7192581E"/>
    <w:rsid w:val="719453E4"/>
    <w:rsid w:val="719D66C8"/>
    <w:rsid w:val="71AB51EE"/>
    <w:rsid w:val="71BF2378"/>
    <w:rsid w:val="71E100E9"/>
    <w:rsid w:val="71EA2FC4"/>
    <w:rsid w:val="71EA5E90"/>
    <w:rsid w:val="71EE2B55"/>
    <w:rsid w:val="71F72A38"/>
    <w:rsid w:val="71FE3E5F"/>
    <w:rsid w:val="720040E9"/>
    <w:rsid w:val="72074550"/>
    <w:rsid w:val="72094611"/>
    <w:rsid w:val="720B6DA8"/>
    <w:rsid w:val="720D7723"/>
    <w:rsid w:val="721434E3"/>
    <w:rsid w:val="721F3D0A"/>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904AA0"/>
    <w:rsid w:val="72A733D0"/>
    <w:rsid w:val="72AC0B5F"/>
    <w:rsid w:val="72B148D9"/>
    <w:rsid w:val="72B20BCC"/>
    <w:rsid w:val="72B66B9A"/>
    <w:rsid w:val="72B752C0"/>
    <w:rsid w:val="72BE2002"/>
    <w:rsid w:val="72BF286C"/>
    <w:rsid w:val="72C60382"/>
    <w:rsid w:val="72D1181A"/>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55490"/>
    <w:rsid w:val="74666B79"/>
    <w:rsid w:val="746E4951"/>
    <w:rsid w:val="747207C5"/>
    <w:rsid w:val="74732C8F"/>
    <w:rsid w:val="747E7CD4"/>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ED02C2"/>
    <w:rsid w:val="74F64CF5"/>
    <w:rsid w:val="74FF0307"/>
    <w:rsid w:val="750223BA"/>
    <w:rsid w:val="750F5823"/>
    <w:rsid w:val="75105C9A"/>
    <w:rsid w:val="7517521C"/>
    <w:rsid w:val="75181D72"/>
    <w:rsid w:val="75186062"/>
    <w:rsid w:val="751D79C1"/>
    <w:rsid w:val="751F3D60"/>
    <w:rsid w:val="752503A2"/>
    <w:rsid w:val="752B0E49"/>
    <w:rsid w:val="753211D3"/>
    <w:rsid w:val="754055E2"/>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C51E9"/>
    <w:rsid w:val="761E7BD4"/>
    <w:rsid w:val="762E25A8"/>
    <w:rsid w:val="763A574B"/>
    <w:rsid w:val="7645107B"/>
    <w:rsid w:val="7658118F"/>
    <w:rsid w:val="765834E9"/>
    <w:rsid w:val="766948B0"/>
    <w:rsid w:val="766C44F4"/>
    <w:rsid w:val="766D53BF"/>
    <w:rsid w:val="767107D4"/>
    <w:rsid w:val="767E67CD"/>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53257"/>
    <w:rsid w:val="77766C2B"/>
    <w:rsid w:val="77891E89"/>
    <w:rsid w:val="779338FF"/>
    <w:rsid w:val="779D3992"/>
    <w:rsid w:val="77A16874"/>
    <w:rsid w:val="77A67B1B"/>
    <w:rsid w:val="77B135B8"/>
    <w:rsid w:val="77B51B62"/>
    <w:rsid w:val="77C22CB8"/>
    <w:rsid w:val="77C31373"/>
    <w:rsid w:val="77C93714"/>
    <w:rsid w:val="77CB403E"/>
    <w:rsid w:val="77D2224F"/>
    <w:rsid w:val="77DB7463"/>
    <w:rsid w:val="77EE2F50"/>
    <w:rsid w:val="77EF6D1F"/>
    <w:rsid w:val="77F07FBB"/>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C1CE6"/>
    <w:rsid w:val="78B23C5C"/>
    <w:rsid w:val="78B75C8E"/>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2D3324"/>
    <w:rsid w:val="79301FB2"/>
    <w:rsid w:val="794A705D"/>
    <w:rsid w:val="795D061C"/>
    <w:rsid w:val="79650117"/>
    <w:rsid w:val="797031C3"/>
    <w:rsid w:val="79710BD9"/>
    <w:rsid w:val="7974330B"/>
    <w:rsid w:val="7978297F"/>
    <w:rsid w:val="79793994"/>
    <w:rsid w:val="797B4475"/>
    <w:rsid w:val="79825A8B"/>
    <w:rsid w:val="798C5D91"/>
    <w:rsid w:val="79B7133F"/>
    <w:rsid w:val="79B963A4"/>
    <w:rsid w:val="79BA2F94"/>
    <w:rsid w:val="79BC264E"/>
    <w:rsid w:val="79C76293"/>
    <w:rsid w:val="79E57E94"/>
    <w:rsid w:val="79E6205E"/>
    <w:rsid w:val="79E67EB2"/>
    <w:rsid w:val="79E72FBE"/>
    <w:rsid w:val="79E7444C"/>
    <w:rsid w:val="79EE7B9C"/>
    <w:rsid w:val="7A061B69"/>
    <w:rsid w:val="7A0C2A78"/>
    <w:rsid w:val="7A0D0808"/>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C21C2"/>
    <w:rsid w:val="7A767354"/>
    <w:rsid w:val="7A7A523B"/>
    <w:rsid w:val="7A8242B4"/>
    <w:rsid w:val="7A845059"/>
    <w:rsid w:val="7A8C4073"/>
    <w:rsid w:val="7A9D6337"/>
    <w:rsid w:val="7AA00320"/>
    <w:rsid w:val="7AA33F9C"/>
    <w:rsid w:val="7AA34E89"/>
    <w:rsid w:val="7AA444FF"/>
    <w:rsid w:val="7AA924EB"/>
    <w:rsid w:val="7AAE73F4"/>
    <w:rsid w:val="7AB1224E"/>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A1CE7"/>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F12C1D"/>
    <w:rsid w:val="7BF14DF9"/>
    <w:rsid w:val="7BF16B67"/>
    <w:rsid w:val="7BF417C7"/>
    <w:rsid w:val="7C0E462A"/>
    <w:rsid w:val="7C0F60D8"/>
    <w:rsid w:val="7C194153"/>
    <w:rsid w:val="7C1C5BF5"/>
    <w:rsid w:val="7C266365"/>
    <w:rsid w:val="7C2B192C"/>
    <w:rsid w:val="7C2F62FC"/>
    <w:rsid w:val="7C451D10"/>
    <w:rsid w:val="7C485D6C"/>
    <w:rsid w:val="7C4B3831"/>
    <w:rsid w:val="7C504CDB"/>
    <w:rsid w:val="7C5846F0"/>
    <w:rsid w:val="7C6B4DF6"/>
    <w:rsid w:val="7C6D370B"/>
    <w:rsid w:val="7C6E0DB4"/>
    <w:rsid w:val="7C745B15"/>
    <w:rsid w:val="7C7F1521"/>
    <w:rsid w:val="7C7F3842"/>
    <w:rsid w:val="7C956A9F"/>
    <w:rsid w:val="7C9952E7"/>
    <w:rsid w:val="7C9C0351"/>
    <w:rsid w:val="7C9F2FB0"/>
    <w:rsid w:val="7CA02A08"/>
    <w:rsid w:val="7CAF279A"/>
    <w:rsid w:val="7CB62F86"/>
    <w:rsid w:val="7CDC2354"/>
    <w:rsid w:val="7CE84DF9"/>
    <w:rsid w:val="7CF27393"/>
    <w:rsid w:val="7CF56037"/>
    <w:rsid w:val="7CFC12D6"/>
    <w:rsid w:val="7CFF3642"/>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902263"/>
    <w:rsid w:val="7D971697"/>
    <w:rsid w:val="7DA04CA2"/>
    <w:rsid w:val="7DA66D82"/>
    <w:rsid w:val="7DB64F6F"/>
    <w:rsid w:val="7DCD7AF7"/>
    <w:rsid w:val="7DDB4B77"/>
    <w:rsid w:val="7DE844D5"/>
    <w:rsid w:val="7DF30062"/>
    <w:rsid w:val="7DF37C1A"/>
    <w:rsid w:val="7DF801A0"/>
    <w:rsid w:val="7DF87DEB"/>
    <w:rsid w:val="7E0A2072"/>
    <w:rsid w:val="7E332130"/>
    <w:rsid w:val="7E3E2869"/>
    <w:rsid w:val="7E3E3BAD"/>
    <w:rsid w:val="7E511360"/>
    <w:rsid w:val="7E5745A4"/>
    <w:rsid w:val="7E6347AB"/>
    <w:rsid w:val="7E705D8F"/>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134"/>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99"/>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23"/>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pPr>
    <w:rPr>
      <w:rFonts w:eastAsia="MS Mincho"/>
      <w:b/>
      <w:szCs w:val="24"/>
      <w:lang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tabs>
        <w:tab w:val="left" w:pos="1080"/>
      </w:tabs>
      <w:spacing w:line="480" w:lineRule="auto"/>
    </w:pPr>
    <w:rPr>
      <w:sz w:val="24"/>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23"/>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23"/>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rPr>
      <w:rFonts w:eastAsia="宋体"/>
      <w:lang w:val="en-GB" w:eastAsia="en-US" w:bidi="ar-SA"/>
    </w:rPr>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66">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1938</Words>
  <Characters>11051</Characters>
  <Lines>92</Lines>
  <Paragraphs>25</Paragraphs>
  <TotalTime>1</TotalTime>
  <ScaleCrop>false</ScaleCrop>
  <LinksUpToDate>false</LinksUpToDate>
  <CharactersWithSpaces>12964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2023-05-12T09:41:58Z</dcterms:modified>
  <dc:title>3GPP TSG-RAN WG2</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